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037DC584">
      <w:pPr>
        <w:wordWrap w:val="0"/>
        <w:jc w:val="center"/>
        <w:rPr>
          <w:b/>
          <w:color w:val="000000" w:themeColor="text1"/>
          <w:sz w:val="44"/>
          <w:szCs w:val="44"/>
          <w14:textFill>
            <w14:solidFill>
              <w14:schemeClr w14:val="tx1"/>
            </w14:solidFill>
          </w14:textFill>
        </w:rPr>
      </w:pPr>
      <w:r>
        <w:rPr>
          <w:b/>
          <w:color w:val="000000" w:themeColor="text1"/>
          <w:sz w:val="44"/>
          <w:szCs w:val="44"/>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-184785</wp:posOffset>
                </wp:positionH>
                <wp:positionV relativeFrom="paragraph">
                  <wp:posOffset>-248285</wp:posOffset>
                </wp:positionV>
                <wp:extent cx="5692775" cy="9011285"/>
                <wp:effectExtent l="0" t="0" r="3175" b="18415"/>
                <wp:wrapNone/>
                <wp:docPr id="1" name="组合 1"/>
                <wp:cNvGraphicFramePr/>
                <a:graphic xmlns:a="http://schemas.openxmlformats.org/drawingml/2006/main">
                  <a:graphicData uri="http://schemas.microsoft.com/office/word/2010/wordprocessingGroup">
                    <wpg:wgp>
                      <wpg:cNvGrpSpPr/>
                      <wpg:grpSpPr>
                        <a:xfrm>
                          <a:off x="0" y="0"/>
                          <a:ext cx="5692775" cy="9011285"/>
                          <a:chOff x="1526" y="925"/>
                          <a:chExt cx="8965" cy="14191"/>
                        </a:xfrm>
                        <a:effectLst/>
                      </wpg:grpSpPr>
                      <wps:wsp>
                        <wps:cNvPr id="2" name="Text Box 3"/>
                        <wps:cNvSpPr txBox="1">
                          <a:spLocks noChangeArrowheads="1"/>
                        </wps:cNvSpPr>
                        <wps:spPr bwMode="auto">
                          <a:xfrm>
                            <a:off x="1798" y="925"/>
                            <a:ext cx="8430" cy="2061"/>
                          </a:xfrm>
                          <a:prstGeom prst="rect">
                            <a:avLst/>
                          </a:prstGeom>
                          <a:solidFill>
                            <a:srgbClr val="FFFFFF"/>
                          </a:solidFill>
                          <a:ln>
                            <a:noFill/>
                          </a:ln>
                          <a:effectLst/>
                        </wps:spPr>
                        <wps:txbx>
                          <w:txbxContent>
                            <w:p w14:paraId="0F42650D">
                              <w:pPr>
                                <w:ind w:right="-151" w:rightChars="-72"/>
                                <w:jc w:val="center"/>
                                <w:rPr>
                                  <w:rFonts w:ascii="华文中宋" w:hAnsi="华文中宋" w:eastAsia="华文中宋"/>
                                  <w:color w:val="FF0000"/>
                                  <w:spacing w:val="100"/>
                                  <w:w w:val="48"/>
                                  <w:kern w:val="10"/>
                                  <w:sz w:val="124"/>
                                  <w:szCs w:val="124"/>
                                </w:rPr>
                              </w:pPr>
                              <w:r>
                                <w:rPr>
                                  <w:rFonts w:hint="eastAsia" w:ascii="华文中宋" w:hAnsi="华文中宋" w:eastAsia="华文中宋"/>
                                  <w:color w:val="FF0000"/>
                                  <w:spacing w:val="100"/>
                                  <w:w w:val="48"/>
                                  <w:kern w:val="10"/>
                                  <w:sz w:val="124"/>
                                  <w:szCs w:val="124"/>
                                </w:rPr>
                                <w:t>成都医学院基础医学院</w:t>
                              </w:r>
                            </w:p>
                            <w:p w14:paraId="0B2F284F">
                              <w:pPr>
                                <w:jc w:val="center"/>
                                <w:rPr>
                                  <w:rFonts w:ascii="华文中宋" w:hAnsi="华文中宋" w:eastAsia="华文中宋"/>
                                  <w:color w:val="FF0000"/>
                                  <w:spacing w:val="60"/>
                                  <w:w w:val="56"/>
                                  <w:kern w:val="10"/>
                                  <w:sz w:val="124"/>
                                  <w:szCs w:val="124"/>
                                </w:rPr>
                              </w:pPr>
                              <w:r>
                                <w:rPr>
                                  <w:rFonts w:hint="eastAsia" w:ascii="华文中宋" w:hAnsi="华文中宋" w:eastAsia="华文中宋"/>
                                  <w:color w:val="FF0000"/>
                                  <w:spacing w:val="440"/>
                                  <w:w w:val="56"/>
                                  <w:kern w:val="10"/>
                                  <w:sz w:val="124"/>
                                  <w:szCs w:val="124"/>
                                </w:rPr>
                                <w:t>成都医学</w:t>
                              </w:r>
                              <w:r>
                                <w:rPr>
                                  <w:rFonts w:hint="eastAsia" w:ascii="华文中宋" w:hAnsi="华文中宋" w:eastAsia="华文中宋"/>
                                  <w:color w:val="FF0000"/>
                                  <w:spacing w:val="60"/>
                                  <w:w w:val="56"/>
                                  <w:kern w:val="10"/>
                                  <w:sz w:val="124"/>
                                  <w:szCs w:val="124"/>
                                </w:rPr>
                                <w:t>院</w:t>
                              </w:r>
                            </w:p>
                            <w:p w14:paraId="54966D42"/>
                            <w:p w14:paraId="0816BE00"/>
                          </w:txbxContent>
                        </wps:txbx>
                        <wps:bodyPr rot="0" vert="horz" wrap="square" lIns="91440" tIns="108000" rIns="91440" bIns="10800" anchor="t" anchorCtr="0" upright="1">
                          <a:noAutofit/>
                        </wps:bodyPr>
                      </wps:wsp>
                      <wps:wsp>
                        <wps:cNvPr id="3" name="Line 4"/>
                        <wps:cNvCnPr/>
                        <wps:spPr bwMode="auto">
                          <a:xfrm>
                            <a:off x="1534" y="3213"/>
                            <a:ext cx="8957" cy="0"/>
                          </a:xfrm>
                          <a:prstGeom prst="line">
                            <a:avLst/>
                          </a:prstGeom>
                          <a:noFill/>
                          <a:ln w="15240">
                            <a:solidFill>
                              <a:srgbClr val="FF0000"/>
                            </a:solidFill>
                            <a:round/>
                          </a:ln>
                          <a:effectLst/>
                        </wps:spPr>
                        <wps:bodyPr/>
                      </wps:wsp>
                      <wps:wsp>
                        <wps:cNvPr id="4" name="Line 5"/>
                        <wps:cNvCnPr/>
                        <wps:spPr bwMode="auto">
                          <a:xfrm>
                            <a:off x="1527" y="15116"/>
                            <a:ext cx="8957" cy="0"/>
                          </a:xfrm>
                          <a:prstGeom prst="line">
                            <a:avLst/>
                          </a:prstGeom>
                          <a:noFill/>
                          <a:ln w="34925">
                            <a:solidFill>
                              <a:srgbClr val="FF0000"/>
                            </a:solidFill>
                            <a:round/>
                          </a:ln>
                          <a:effectLst/>
                        </wps:spPr>
                        <wps:bodyPr/>
                      </wps:wsp>
                      <wps:wsp>
                        <wps:cNvPr id="5" name="Line 6"/>
                        <wps:cNvCnPr/>
                        <wps:spPr bwMode="auto">
                          <a:xfrm>
                            <a:off x="1534" y="15026"/>
                            <a:ext cx="8957" cy="0"/>
                          </a:xfrm>
                          <a:prstGeom prst="line">
                            <a:avLst/>
                          </a:prstGeom>
                          <a:noFill/>
                          <a:ln w="15240">
                            <a:solidFill>
                              <a:srgbClr val="FF0000"/>
                            </a:solidFill>
                            <a:round/>
                          </a:ln>
                          <a:effectLst/>
                        </wps:spPr>
                        <wps:bodyPr/>
                      </wps:wsp>
                      <wps:wsp>
                        <wps:cNvPr id="6" name="Line 7"/>
                        <wps:cNvCnPr/>
                        <wps:spPr bwMode="auto">
                          <a:xfrm>
                            <a:off x="1526" y="3139"/>
                            <a:ext cx="8957" cy="0"/>
                          </a:xfrm>
                          <a:prstGeom prst="line">
                            <a:avLst/>
                          </a:prstGeom>
                          <a:noFill/>
                          <a:ln w="34925">
                            <a:solidFill>
                              <a:srgbClr val="FF0000"/>
                            </a:solidFill>
                            <a:round/>
                          </a:ln>
                          <a:effectLst/>
                        </wps:spPr>
                        <wps:bodyPr/>
                      </wps:wsp>
                    </wpg:wgp>
                  </a:graphicData>
                </a:graphic>
              </wp:anchor>
            </w:drawing>
          </mc:Choice>
          <mc:Fallback>
            <w:pict>
              <v:group id="_x0000_s1026" o:spid="_x0000_s1026" o:spt="203" style="position:absolute;left:0pt;margin-left:-14.55pt;margin-top:-19.55pt;height:709.55pt;width:448.25pt;z-index:251659264;mso-width-relative:page;mso-height-relative:page;" coordorigin="1526,925" coordsize="8965,14191" o:gfxdata="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">
                <o:lock v:ext="edit" aspectratio="f"/>
                <v:shape id="Text Box 3" o:spid="_x0000_s1026" o:spt="202" type="#_x0000_t202" style="position:absolute;left:1798;top:925;height:2061;width:8430;" fillcolor="#FFFFFF" filled="t" stroked="f" coordsize="21600,21600" o:gfxdata="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1lFtO8AAAA&#10;2gAAAA8AAAAAAAAAAQAgAAAAIgAAAGRycy9kb3ducmV2LnhtbFBLAQIUABQAAAAIAIdO4kAzLwWe&#10;OwAAADkAAAAQAAAAAAAAAAEAIAAAAAsBAABkcnMvc2hhcGV4bWwueG1sUEsFBgAAAAAGAAYAWwEA&#10;ALUDAAAAAA==&#10;">
                  <v:fill on="t" focussize="0,0"/>
                  <v:stroke on="f"/>
                  <v:imagedata o:title=""/>
                  <o:lock v:ext="edit" aspectratio="f"/>
                  <v:textbox inset="2.54mm,3mm,2.54mm,0.3mm">
                    <w:txbxContent>
                      <w:p w14:paraId="0F42650D">
                        <w:pPr>
                          <w:ind w:right="-151" w:rightChars="-72"/>
                          <w:jc w:val="center"/>
                          <w:rPr>
                            <w:rFonts w:ascii="华文中宋" w:hAnsi="华文中宋" w:eastAsia="华文中宋"/>
                            <w:color w:val="FF0000"/>
                            <w:spacing w:val="100"/>
                            <w:w w:val="48"/>
                            <w:kern w:val="10"/>
                            <w:sz w:val="124"/>
                            <w:szCs w:val="124"/>
                          </w:rPr>
                        </w:pPr>
                        <w:r>
                          <w:rPr>
                            <w:rFonts w:hint="eastAsia" w:ascii="华文中宋" w:hAnsi="华文中宋" w:eastAsia="华文中宋"/>
                            <w:color w:val="FF0000"/>
                            <w:spacing w:val="100"/>
                            <w:w w:val="48"/>
                            <w:kern w:val="10"/>
                            <w:sz w:val="124"/>
                            <w:szCs w:val="124"/>
                          </w:rPr>
                          <w:t>成都医学院基础医学院</w:t>
                        </w:r>
                      </w:p>
                      <w:p w14:paraId="0B2F284F">
                        <w:pPr>
                          <w:jc w:val="center"/>
                          <w:rPr>
                            <w:rFonts w:ascii="华文中宋" w:hAnsi="华文中宋" w:eastAsia="华文中宋"/>
                            <w:color w:val="FF0000"/>
                            <w:spacing w:val="60"/>
                            <w:w w:val="56"/>
                            <w:kern w:val="10"/>
                            <w:sz w:val="124"/>
                            <w:szCs w:val="124"/>
                          </w:rPr>
                        </w:pPr>
                        <w:r>
                          <w:rPr>
                            <w:rFonts w:hint="eastAsia" w:ascii="华文中宋" w:hAnsi="华文中宋" w:eastAsia="华文中宋"/>
                            <w:color w:val="FF0000"/>
                            <w:spacing w:val="440"/>
                            <w:w w:val="56"/>
                            <w:kern w:val="10"/>
                            <w:sz w:val="124"/>
                            <w:szCs w:val="124"/>
                          </w:rPr>
                          <w:t>成都医学</w:t>
                        </w:r>
                        <w:r>
                          <w:rPr>
                            <w:rFonts w:hint="eastAsia" w:ascii="华文中宋" w:hAnsi="华文中宋" w:eastAsia="华文中宋"/>
                            <w:color w:val="FF0000"/>
                            <w:spacing w:val="60"/>
                            <w:w w:val="56"/>
                            <w:kern w:val="10"/>
                            <w:sz w:val="124"/>
                            <w:szCs w:val="124"/>
                          </w:rPr>
                          <w:t>院</w:t>
                        </w:r>
                      </w:p>
                      <w:p w14:paraId="54966D42"/>
                      <w:p w14:paraId="0816BE00"/>
                    </w:txbxContent>
                  </v:textbox>
                </v:shape>
                <v:line id="Line 4" o:spid="_x0000_s1026" o:spt="20" style="position:absolute;left:1534;top:3213;height:0;width:8957;" filled="f" stroked="t" coordsize="21600,21600" o:gfxdata="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9jcr7sAAADa&#10;AAAADwAAAAAAAAABACAAAAAiAAAAZHJzL2Rvd25yZXYueG1sUEsBAhQAFAAAAAgAh07iQDMvBZ47&#10;AAAAOQAAABAAAAAAAAAAAQAgAAAACgEAAGRycy9zaGFwZXhtbC54bWxQSwUGAAAAAAYABgBbAQAA&#10;tAMAAAAA&#10;">
                  <v:fill on="f" focussize="0,0"/>
                  <v:stroke weight="1.2pt" color="#FF0000" joinstyle="round"/>
                  <v:imagedata o:title=""/>
                  <o:lock v:ext="edit" aspectratio="f"/>
                </v:line>
                <v:line id="Line 5" o:spid="_x0000_s1026" o:spt="20" style="position:absolute;left:1527;top:15116;height:0;width:8957;" filled="f" stroked="t" coordsize="21600,21600" o:gfxdata="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X7NTvQAA&#10;ANoAAAAPAAAAAAAAAAEAIAAAACIAAABkcnMvZG93bnJldi54bWxQSwECFAAUAAAACACHTuJAMy8F&#10;njsAAAA5AAAAEAAAAAAAAAABACAAAAAMAQAAZHJzL3NoYXBleG1sLnhtbFBLBQYAAAAABgAGAFsB&#10;AAC2AwAAAAA=&#10;">
                  <v:fill on="f" focussize="0,0"/>
                  <v:stroke weight="2.75pt" color="#FF0000" joinstyle="round"/>
                  <v:imagedata o:title=""/>
                  <o:lock v:ext="edit" aspectratio="f"/>
                </v:line>
                <v:line id="Line 6" o:spid="_x0000_s1026" o:spt="20" style="position:absolute;left:1534;top:15026;height:0;width:8957;" filled="f" stroked="t" coordsize="21600,21600" o:gfxdata="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33hQLsAAADa&#10;AAAADwAAAAAAAAABACAAAAAiAAAAZHJzL2Rvd25yZXYueG1sUEsBAhQAFAAAAAgAh07iQDMvBZ47&#10;AAAAOQAAABAAAAAAAAAAAQAgAAAACgEAAGRycy9zaGFwZXhtbC54bWxQSwUGAAAAAAYABgBbAQAA&#10;tAMAAAAA&#10;">
                  <v:fill on="f" focussize="0,0"/>
                  <v:stroke weight="1.2pt" color="#FF0000" joinstyle="round"/>
                  <v:imagedata o:title=""/>
                  <o:lock v:ext="edit" aspectratio="f"/>
                </v:line>
                <v:line id="Line 7" o:spid="_x0000_s1026" o:spt="20" style="position:absolute;left:1526;top:3139;height:0;width:8957;" filled="f" stroked="t" coordsize="21600,21600" o:gfxdata="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wYi/vQAA&#10;ANoAAAAPAAAAAAAAAAEAIAAAACIAAABkcnMvZG93bnJldi54bWxQSwECFAAUAAAACACHTuJAMy8F&#10;njsAAAA5AAAAEAAAAAAAAAABACAAAAAMAQAAZHJzL3NoYXBleG1sLnhtbFBLBQYAAAAABgAGAFsB&#10;AAC2AwAAAAA=&#10;">
                  <v:fill on="f" focussize="0,0"/>
                  <v:stroke weight="2.75pt" color="#FF0000" joinstyle="round"/>
                  <v:imagedata o:title=""/>
                  <o:lock v:ext="edit" aspectratio="f"/>
                </v:line>
              </v:group>
            </w:pict>
          </mc:Fallback>
        </mc:AlternateContent>
      </w:r>
    </w:p>
    <w:p w14:paraId="05C2BE12">
      <w:pPr>
        <w:wordWrap w:val="0"/>
        <w:jc w:val="center"/>
        <w:rPr>
          <w:b/>
          <w:color w:val="000000" w:themeColor="text1"/>
          <w:sz w:val="44"/>
          <w:szCs w:val="44"/>
          <w14:textFill>
            <w14:solidFill>
              <w14:schemeClr w14:val="tx1"/>
            </w14:solidFill>
          </w14:textFill>
        </w:rPr>
      </w:pPr>
    </w:p>
    <w:p w14:paraId="6222AC9E">
      <w:pPr>
        <w:wordWrap w:val="0"/>
        <w:jc w:val="center"/>
        <w:rPr>
          <w:b/>
          <w:color w:val="000000" w:themeColor="text1"/>
          <w:sz w:val="44"/>
          <w:szCs w:val="44"/>
          <w14:textFill>
            <w14:solidFill>
              <w14:schemeClr w14:val="tx1"/>
            </w14:solidFill>
          </w14:textFill>
        </w:rPr>
      </w:pPr>
      <w:bookmarkStart w:id="1" w:name="_GoBack"/>
      <w:bookmarkEnd w:id="1"/>
    </w:p>
    <w:p w14:paraId="32583E19">
      <w:pPr>
        <w:pStyle w:val="2"/>
        <w:adjustRightInd w:val="0"/>
        <w:spacing w:before="156" w:beforeLines="50" w:after="156" w:afterLines="50" w:line="560" w:lineRule="exact"/>
        <w:ind w:left="0" w:leftChars="0" w:firstLine="0" w:firstLineChars="0"/>
        <w:jc w:val="center"/>
        <w:rPr>
          <w:rFonts w:ascii="Times New Roman" w:eastAsia="华文中宋"/>
          <w:b/>
          <w:color w:val="000000" w:themeColor="text1"/>
          <w:sz w:val="44"/>
          <w:szCs w:val="44"/>
          <w14:textFill>
            <w14:solidFill>
              <w14:schemeClr w14:val="tx1"/>
            </w14:solidFill>
          </w14:textFill>
        </w:rPr>
      </w:pPr>
      <w:r>
        <w:rPr>
          <w:rFonts w:ascii="Times New Roman" w:eastAsia="华文中宋"/>
          <w:b/>
          <w:color w:val="000000" w:themeColor="text1"/>
          <w:sz w:val="44"/>
          <w:szCs w:val="44"/>
          <w14:textFill>
            <w14:solidFill>
              <w14:schemeClr w14:val="tx1"/>
            </w14:solidFill>
          </w14:textFill>
        </w:rPr>
        <w:t>202</w:t>
      </w:r>
      <w:r>
        <w:rPr>
          <w:rFonts w:hint="eastAsia" w:ascii="Times New Roman" w:eastAsia="华文中宋"/>
          <w:b/>
          <w:color w:val="000000" w:themeColor="text1"/>
          <w:sz w:val="44"/>
          <w:szCs w:val="44"/>
          <w:lang w:val="en-US" w:eastAsia="zh-CN"/>
          <w14:textFill>
            <w14:solidFill>
              <w14:schemeClr w14:val="tx1"/>
            </w14:solidFill>
          </w14:textFill>
        </w:rPr>
        <w:t>5</w:t>
      </w:r>
      <w:r>
        <w:rPr>
          <w:rFonts w:ascii="Times New Roman" w:eastAsia="华文中宋"/>
          <w:b/>
          <w:color w:val="000000" w:themeColor="text1"/>
          <w:sz w:val="44"/>
          <w:szCs w:val="44"/>
          <w14:textFill>
            <w14:solidFill>
              <w14:schemeClr w14:val="tx1"/>
            </w14:solidFill>
          </w14:textFill>
        </w:rPr>
        <w:t>年基础医学学术学位硕士研究生</w:t>
      </w:r>
    </w:p>
    <w:p w14:paraId="656CF40C">
      <w:pPr>
        <w:pStyle w:val="2"/>
        <w:adjustRightInd w:val="0"/>
        <w:spacing w:line="560" w:lineRule="exact"/>
        <w:ind w:left="0" w:leftChars="0" w:firstLine="0" w:firstLineChars="0"/>
        <w:jc w:val="center"/>
        <w:rPr>
          <w:rFonts w:ascii="Times New Roman" w:eastAsia="华文中宋"/>
          <w:b/>
          <w:color w:val="000000" w:themeColor="text1"/>
          <w:sz w:val="44"/>
          <w:szCs w:val="44"/>
          <w14:textFill>
            <w14:solidFill>
              <w14:schemeClr w14:val="tx1"/>
            </w14:solidFill>
          </w14:textFill>
        </w:rPr>
      </w:pPr>
      <w:r>
        <w:rPr>
          <w:rFonts w:ascii="Times New Roman" w:eastAsia="华文中宋"/>
          <w:b/>
          <w:color w:val="000000" w:themeColor="text1"/>
          <w:sz w:val="44"/>
          <w:szCs w:val="44"/>
          <w14:textFill>
            <w14:solidFill>
              <w14:schemeClr w14:val="tx1"/>
            </w14:solidFill>
          </w14:textFill>
        </w:rPr>
        <w:t>复试工作方案</w:t>
      </w:r>
    </w:p>
    <w:p w14:paraId="54C7A96A">
      <w:pPr>
        <w:spacing w:line="560" w:lineRule="exact"/>
        <w:ind w:firstLine="645"/>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为切实做好学校202</w:t>
      </w:r>
      <w:r>
        <w:rPr>
          <w:rFonts w:hint="eastAsia" w:eastAsia="仿宋_GB2312"/>
          <w:color w:val="000000" w:themeColor="text1"/>
          <w:sz w:val="32"/>
          <w:szCs w:val="32"/>
          <w:lang w:val="en-US" w:eastAsia="zh-CN"/>
          <w14:textFill>
            <w14:solidFill>
              <w14:schemeClr w14:val="tx1"/>
            </w14:solidFill>
          </w14:textFill>
        </w:rPr>
        <w:t>5</w:t>
      </w:r>
      <w:r>
        <w:rPr>
          <w:rFonts w:eastAsia="仿宋_GB2312"/>
          <w:color w:val="000000" w:themeColor="text1"/>
          <w:sz w:val="32"/>
          <w:szCs w:val="32"/>
          <w14:textFill>
            <w14:solidFill>
              <w14:schemeClr w14:val="tx1"/>
            </w14:solidFill>
          </w14:textFill>
        </w:rPr>
        <w:t>年</w:t>
      </w:r>
      <w:r>
        <w:rPr>
          <w:rFonts w:hint="eastAsia" w:eastAsia="仿宋_GB2312"/>
          <w:color w:val="000000" w:themeColor="text1"/>
          <w:sz w:val="32"/>
          <w:szCs w:val="32"/>
          <w14:textFill>
            <w14:solidFill>
              <w14:schemeClr w14:val="tx1"/>
            </w14:solidFill>
          </w14:textFill>
        </w:rPr>
        <w:t>基础医学学术学位</w:t>
      </w:r>
      <w:r>
        <w:rPr>
          <w:rFonts w:eastAsia="仿宋_GB2312"/>
          <w:color w:val="000000" w:themeColor="text1"/>
          <w:sz w:val="32"/>
          <w:szCs w:val="32"/>
          <w14:textFill>
            <w14:solidFill>
              <w14:schemeClr w14:val="tx1"/>
            </w14:solidFill>
          </w14:textFill>
        </w:rPr>
        <w:t>硕士研究生招生复试工作，根据《成都医学院202</w:t>
      </w:r>
      <w:r>
        <w:rPr>
          <w:rFonts w:hint="eastAsia" w:eastAsia="仿宋_GB2312"/>
          <w:color w:val="000000" w:themeColor="text1"/>
          <w:sz w:val="32"/>
          <w:szCs w:val="32"/>
          <w:lang w:val="en-US" w:eastAsia="zh-CN"/>
          <w14:textFill>
            <w14:solidFill>
              <w14:schemeClr w14:val="tx1"/>
            </w14:solidFill>
          </w14:textFill>
        </w:rPr>
        <w:t>5</w:t>
      </w:r>
      <w:r>
        <w:rPr>
          <w:rFonts w:eastAsia="仿宋_GB2312"/>
          <w:color w:val="000000" w:themeColor="text1"/>
          <w:sz w:val="32"/>
          <w:szCs w:val="32"/>
          <w14:textFill>
            <w14:solidFill>
              <w14:schemeClr w14:val="tx1"/>
            </w14:solidFill>
          </w14:textFill>
        </w:rPr>
        <w:t>年硕士研究生招生复试录取工作办法》和相关管理规定，特制订202</w:t>
      </w:r>
      <w:r>
        <w:rPr>
          <w:rFonts w:hint="eastAsia" w:eastAsia="仿宋_GB2312"/>
          <w:color w:val="000000" w:themeColor="text1"/>
          <w:sz w:val="32"/>
          <w:szCs w:val="32"/>
          <w:lang w:val="en-US" w:eastAsia="zh-CN"/>
          <w14:textFill>
            <w14:solidFill>
              <w14:schemeClr w14:val="tx1"/>
            </w14:solidFill>
          </w14:textFill>
        </w:rPr>
        <w:t>5</w:t>
      </w:r>
      <w:r>
        <w:rPr>
          <w:rFonts w:eastAsia="仿宋_GB2312"/>
          <w:color w:val="000000" w:themeColor="text1"/>
          <w:sz w:val="32"/>
          <w:szCs w:val="32"/>
          <w14:textFill>
            <w14:solidFill>
              <w14:schemeClr w14:val="tx1"/>
            </w14:solidFill>
          </w14:textFill>
        </w:rPr>
        <w:t>年度</w:t>
      </w:r>
      <w:r>
        <w:rPr>
          <w:rFonts w:hint="eastAsia" w:eastAsia="仿宋_GB2312"/>
          <w:color w:val="000000" w:themeColor="text1"/>
          <w:sz w:val="32"/>
          <w:szCs w:val="32"/>
          <w14:textFill>
            <w14:solidFill>
              <w14:schemeClr w14:val="tx1"/>
            </w14:solidFill>
          </w14:textFill>
        </w:rPr>
        <w:t>基础医学学术学位</w:t>
      </w:r>
      <w:r>
        <w:rPr>
          <w:rFonts w:eastAsia="仿宋_GB2312"/>
          <w:color w:val="000000" w:themeColor="text1"/>
          <w:sz w:val="32"/>
          <w:szCs w:val="32"/>
          <w14:textFill>
            <w14:solidFill>
              <w14:schemeClr w14:val="tx1"/>
            </w14:solidFill>
          </w14:textFill>
        </w:rPr>
        <w:t>硕士研究生招生复试录取工作方案。</w:t>
      </w:r>
    </w:p>
    <w:p w14:paraId="214C8AF9">
      <w:pPr>
        <w:spacing w:before="156" w:beforeLines="50" w:after="156" w:afterLines="50" w:line="560" w:lineRule="exact"/>
        <w:ind w:firstLine="646"/>
        <w:rPr>
          <w:rFonts w:eastAsia="黑体"/>
          <w:b/>
          <w:color w:val="000000" w:themeColor="text1"/>
          <w:sz w:val="32"/>
          <w:szCs w:val="32"/>
          <w14:textFill>
            <w14:solidFill>
              <w14:schemeClr w14:val="tx1"/>
            </w14:solidFill>
          </w14:textFill>
        </w:rPr>
      </w:pPr>
      <w:r>
        <w:rPr>
          <w:rFonts w:eastAsia="黑体"/>
          <w:b/>
          <w:color w:val="000000" w:themeColor="text1"/>
          <w:sz w:val="32"/>
          <w:szCs w:val="32"/>
          <w14:textFill>
            <w14:solidFill>
              <w14:schemeClr w14:val="tx1"/>
            </w14:solidFill>
          </w14:textFill>
        </w:rPr>
        <w:t>一、成立复试录取工作领导小组</w:t>
      </w:r>
    </w:p>
    <w:p w14:paraId="0E192617">
      <w:pPr>
        <w:spacing w:line="560" w:lineRule="exact"/>
        <w:ind w:firstLine="645"/>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成立由党委书记</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院长及学科方向负责人组成的研究生复试录取工作领导小组，负责全院研究生招生复试录取工作的统筹管理</w:t>
      </w:r>
      <w:r>
        <w:rPr>
          <w:rFonts w:hint="eastAsia" w:eastAsia="仿宋_GB2312"/>
          <w:color w:val="000000" w:themeColor="text1"/>
          <w:sz w:val="32"/>
          <w:szCs w:val="32"/>
          <w14:textFill>
            <w14:solidFill>
              <w14:schemeClr w14:val="tx1"/>
            </w14:solidFill>
          </w14:textFill>
        </w:rPr>
        <w:t>。</w:t>
      </w:r>
    </w:p>
    <w:p w14:paraId="0AC2511A">
      <w:pPr>
        <w:spacing w:before="156" w:beforeLines="50" w:after="156" w:afterLines="50" w:line="560" w:lineRule="exact"/>
        <w:ind w:firstLine="646"/>
        <w:rPr>
          <w:rFonts w:eastAsia="黑体"/>
          <w:b/>
          <w:color w:val="000000" w:themeColor="text1"/>
          <w:sz w:val="32"/>
          <w:szCs w:val="32"/>
          <w14:textFill>
            <w14:solidFill>
              <w14:schemeClr w14:val="tx1"/>
            </w14:solidFill>
          </w14:textFill>
        </w:rPr>
      </w:pPr>
      <w:r>
        <w:rPr>
          <w:rFonts w:eastAsia="黑体"/>
          <w:b/>
          <w:color w:val="000000" w:themeColor="text1"/>
          <w:sz w:val="32"/>
          <w:szCs w:val="32"/>
          <w14:textFill>
            <w14:solidFill>
              <w14:schemeClr w14:val="tx1"/>
            </w14:solidFill>
          </w14:textFill>
        </w:rPr>
        <w:t>二、成立</w:t>
      </w:r>
      <w:bookmarkStart w:id="0" w:name="_Hlk38482072"/>
      <w:r>
        <w:rPr>
          <w:rFonts w:eastAsia="黑体"/>
          <w:b/>
          <w:color w:val="000000" w:themeColor="text1"/>
          <w:sz w:val="32"/>
          <w:szCs w:val="32"/>
          <w14:textFill>
            <w14:solidFill>
              <w14:schemeClr w14:val="tx1"/>
            </w14:solidFill>
          </w14:textFill>
        </w:rPr>
        <w:t>复试录取工作督查小组</w:t>
      </w:r>
      <w:bookmarkEnd w:id="0"/>
    </w:p>
    <w:p w14:paraId="15CC3AFD">
      <w:pPr>
        <w:spacing w:line="560" w:lineRule="exact"/>
        <w:ind w:firstLine="645"/>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成立由纪委书记、纪委委员组成的研究生复试录取工作督查小组，负责学院研究生招生复试工作全过程的督查和巡视工作</w:t>
      </w:r>
      <w:r>
        <w:rPr>
          <w:rFonts w:hint="eastAsia" w:eastAsia="仿宋_GB2312"/>
          <w:color w:val="000000" w:themeColor="text1"/>
          <w:sz w:val="32"/>
          <w:szCs w:val="32"/>
          <w14:textFill>
            <w14:solidFill>
              <w14:schemeClr w14:val="tx1"/>
            </w14:solidFill>
          </w14:textFill>
        </w:rPr>
        <w:t>。</w:t>
      </w:r>
    </w:p>
    <w:p w14:paraId="4BB250D3">
      <w:pPr>
        <w:spacing w:before="156" w:beforeLines="50" w:after="156" w:afterLines="50" w:line="560" w:lineRule="exact"/>
        <w:ind w:firstLine="646"/>
        <w:rPr>
          <w:rFonts w:eastAsia="仿宋_GB2312"/>
          <w:color w:val="000000" w:themeColor="text1"/>
          <w:sz w:val="32"/>
          <w:szCs w:val="32"/>
          <w14:textFill>
            <w14:solidFill>
              <w14:schemeClr w14:val="tx1"/>
            </w14:solidFill>
          </w14:textFill>
        </w:rPr>
      </w:pPr>
      <w:r>
        <w:rPr>
          <w:rFonts w:eastAsia="黑体"/>
          <w:b/>
          <w:color w:val="000000" w:themeColor="text1"/>
          <w:sz w:val="32"/>
          <w:szCs w:val="32"/>
          <w14:textFill>
            <w14:solidFill>
              <w14:schemeClr w14:val="tx1"/>
            </w14:solidFill>
          </w14:textFill>
        </w:rPr>
        <w:t>三、</w:t>
      </w:r>
      <w:r>
        <w:rPr>
          <w:rFonts w:hint="eastAsia" w:eastAsia="黑体"/>
          <w:b/>
          <w:color w:val="000000" w:themeColor="text1"/>
          <w:sz w:val="32"/>
          <w:szCs w:val="32"/>
          <w14:textFill>
            <w14:solidFill>
              <w14:schemeClr w14:val="tx1"/>
            </w14:solidFill>
          </w14:textFill>
        </w:rPr>
        <w:t>复试工作原则</w:t>
      </w:r>
    </w:p>
    <w:p w14:paraId="3D0D1D8F">
      <w:pPr>
        <w:wordWrap w:val="0"/>
        <w:spacing w:line="560" w:lineRule="exact"/>
        <w:ind w:firstLine="645"/>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坚持</w:t>
      </w:r>
      <w:r>
        <w:rPr>
          <w:rFonts w:eastAsia="仿宋_GB2312"/>
          <w:color w:val="000000" w:themeColor="text1"/>
          <w:sz w:val="32"/>
          <w:szCs w:val="32"/>
          <w14:textFill>
            <w14:solidFill>
              <w14:schemeClr w14:val="tx1"/>
            </w14:solidFill>
          </w14:textFill>
        </w:rPr>
        <w:t>全面考查、科学选拔、择优录取的原则；</w:t>
      </w:r>
    </w:p>
    <w:p w14:paraId="0C10C64C">
      <w:pPr>
        <w:wordWrap w:val="0"/>
        <w:spacing w:line="560" w:lineRule="exact"/>
        <w:ind w:firstLine="645"/>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坚持</w:t>
      </w:r>
      <w:r>
        <w:rPr>
          <w:rFonts w:eastAsia="仿宋_GB2312"/>
          <w:color w:val="000000" w:themeColor="text1"/>
          <w:sz w:val="32"/>
          <w:szCs w:val="32"/>
          <w14:textFill>
            <w14:solidFill>
              <w14:schemeClr w14:val="tx1"/>
            </w14:solidFill>
          </w14:textFill>
        </w:rPr>
        <w:t>政策透明、程序规范、过程公开的原则。</w:t>
      </w:r>
    </w:p>
    <w:p w14:paraId="3D28D518">
      <w:pPr>
        <w:wordWrap w:val="0"/>
        <w:spacing w:before="156" w:beforeLines="50" w:after="156" w:afterLines="50" w:line="560" w:lineRule="exact"/>
        <w:ind w:firstLine="646"/>
        <w:rPr>
          <w:rFonts w:eastAsia="黑体"/>
          <w:b/>
          <w:color w:val="000000" w:themeColor="text1"/>
          <w:sz w:val="32"/>
          <w:szCs w:val="32"/>
          <w14:textFill>
            <w14:solidFill>
              <w14:schemeClr w14:val="tx1"/>
            </w14:solidFill>
          </w14:textFill>
        </w:rPr>
      </w:pPr>
      <w:r>
        <w:rPr>
          <w:rFonts w:hint="eastAsia" w:eastAsia="黑体"/>
          <w:b/>
          <w:color w:val="000000" w:themeColor="text1"/>
          <w:sz w:val="32"/>
          <w:szCs w:val="32"/>
          <w14:textFill>
            <w14:solidFill>
              <w14:schemeClr w14:val="tx1"/>
            </w14:solidFill>
          </w14:textFill>
        </w:rPr>
        <w:t>四</w:t>
      </w:r>
      <w:r>
        <w:rPr>
          <w:rFonts w:eastAsia="黑体"/>
          <w:b/>
          <w:color w:val="000000" w:themeColor="text1"/>
          <w:sz w:val="32"/>
          <w:szCs w:val="32"/>
          <w14:textFill>
            <w14:solidFill>
              <w14:schemeClr w14:val="tx1"/>
            </w14:solidFill>
          </w14:textFill>
        </w:rPr>
        <w:t>、复试工作要求和内容</w:t>
      </w:r>
    </w:p>
    <w:p w14:paraId="0A7E2B2B">
      <w:pPr>
        <w:wordWrap w:val="0"/>
        <w:spacing w:line="560" w:lineRule="exact"/>
        <w:ind w:firstLine="645"/>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1</w:t>
      </w:r>
      <w:r>
        <w:rPr>
          <w:rFonts w:eastAsia="仿宋_GB2312"/>
          <w:color w:val="000000" w:themeColor="text1"/>
          <w:sz w:val="32"/>
          <w:szCs w:val="32"/>
          <w14:textFill>
            <w14:solidFill>
              <w14:schemeClr w14:val="tx1"/>
            </w14:solidFill>
          </w14:textFill>
        </w:rPr>
        <w:t>.复试内容</w:t>
      </w:r>
    </w:p>
    <w:p w14:paraId="6F7D6B7C">
      <w:pPr>
        <w:wordWrap w:val="0"/>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（1）专业素质和能力测试。主要考查内容包</w:t>
      </w:r>
      <w:r>
        <w:rPr>
          <w:rFonts w:hint="eastAsia" w:ascii="仿宋" w:hAnsi="仿宋" w:eastAsia="仿宋" w:cs="仿宋"/>
          <w:color w:val="auto"/>
          <w:sz w:val="32"/>
          <w:szCs w:val="32"/>
        </w:rPr>
        <w:t>括：大学阶段学习情况及成绩；创新精神和能力；本专业的发展潜力以及对本学科发展动态的了解；考生运用</w:t>
      </w:r>
      <w:r>
        <w:rPr>
          <w:rFonts w:hint="eastAsia" w:ascii="仿宋" w:hAnsi="仿宋" w:eastAsia="仿宋" w:cs="仿宋"/>
          <w:color w:val="000000" w:themeColor="text1"/>
          <w:sz w:val="32"/>
          <w:szCs w:val="32"/>
          <w14:textFill>
            <w14:solidFill>
              <w14:schemeClr w14:val="tx1"/>
            </w14:solidFill>
          </w14:textFill>
        </w:rPr>
        <w:t>本学科知识发现、分析和解决问题的能力。</w:t>
      </w:r>
    </w:p>
    <w:p w14:paraId="1D1627C4">
      <w:pPr>
        <w:wordWrap w:val="0"/>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重点考查考生对本学科方向基础知识和专业知识的综 合掌握情况。</w:t>
      </w:r>
    </w:p>
    <w:p w14:paraId="32DCDBEF">
      <w:pPr>
        <w:wordWrap w:val="0"/>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（2）英语听说和阅读能力测试。包括公共英语和专业英 语的听说、阅读能力的测试。</w:t>
      </w:r>
    </w:p>
    <w:p w14:paraId="4B35EF59">
      <w:pPr>
        <w:wordWrap w:val="0"/>
        <w:spacing w:line="560" w:lineRule="exact"/>
        <w:ind w:firstLine="645"/>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（3）综合素质和能力测试。主要考查内容包括：思想政 治素质和诚信品质；本学科以外的学习、科研、社会实践或 实际工作表现等方面的情况；事业心、责任感、纪律性(遵 纪守法)、协作性和心理健康情况；人文素养；行为举止、表达和礼仪等。</w:t>
      </w:r>
    </w:p>
    <w:p w14:paraId="7349D5E2">
      <w:pPr>
        <w:wordWrap w:val="0"/>
        <w:spacing w:line="560" w:lineRule="exact"/>
        <w:ind w:firstLine="645"/>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.复试方式及复试成绩核算</w:t>
      </w:r>
    </w:p>
    <w:p w14:paraId="5F5B0472">
      <w:pPr>
        <w:wordWrap w:val="0"/>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专业课考试</w:t>
      </w:r>
    </w:p>
    <w:p w14:paraId="07AA4D45">
      <w:pPr>
        <w:wordWrap w:val="0"/>
        <w:spacing w:line="560" w:lineRule="exact"/>
        <w:ind w:firstLine="645"/>
        <w:rPr>
          <w:rFonts w:hint="eastAsia"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考试时间为2小时/科目，满分为100 分/科目。考试科目见招生专业目录。</w:t>
      </w:r>
    </w:p>
    <w:p w14:paraId="4D997BAC">
      <w:pPr>
        <w:wordWrap w:val="0"/>
        <w:spacing w:line="560" w:lineRule="exact"/>
        <w:ind w:firstLine="645"/>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（2）英语能力测试</w:t>
      </w:r>
    </w:p>
    <w:p w14:paraId="4134E516">
      <w:pPr>
        <w:wordWrap w:val="0"/>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 英语阅读能力测试：为闭卷笔试，考试时间为30 分钟，满分100 分。</w:t>
      </w:r>
    </w:p>
    <w:p w14:paraId="6445801F">
      <w:pPr>
        <w:wordWrap w:val="0"/>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2）听说能力测试：采取面试时英语自我介绍及口语交流等形式，每名考生的测试时间一般不少于3分钟，满分100分。</w:t>
      </w:r>
    </w:p>
    <w:p w14:paraId="0717DEBA">
      <w:pPr>
        <w:wordWrap w:val="0"/>
        <w:spacing w:line="560" w:lineRule="exact"/>
        <w:ind w:firstLine="640" w:firstLineChars="200"/>
        <w:rPr>
          <w:rFonts w:eastAsia="仿宋_GB2312"/>
          <w:color w:val="000000" w:themeColor="text1"/>
          <w:sz w:val="32"/>
          <w:szCs w:val="32"/>
          <w:highlight w:val="yellow"/>
          <w14:textFill>
            <w14:solidFill>
              <w14:schemeClr w14:val="tx1"/>
            </w14:solidFill>
          </w14:textFill>
        </w:rPr>
      </w:pPr>
      <w:r>
        <w:rPr>
          <w:rFonts w:hint="eastAsia" w:eastAsia="仿宋_GB2312"/>
          <w:color w:val="000000" w:themeColor="text1"/>
          <w:sz w:val="32"/>
          <w:szCs w:val="32"/>
          <w14:textFill>
            <w14:solidFill>
              <w14:schemeClr w14:val="tx1"/>
            </w14:solidFill>
          </w14:textFill>
        </w:rPr>
        <w:t>英语能力测试总成绩：按阅读能力测试和听说能力测试成绩5：5进行加权计算，总分100分。</w:t>
      </w:r>
    </w:p>
    <w:p w14:paraId="29159994">
      <w:pPr>
        <w:wordWrap w:val="0"/>
        <w:spacing w:line="560" w:lineRule="exact"/>
        <w:ind w:firstLine="645"/>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（3）综合素质及能力测试</w:t>
      </w:r>
    </w:p>
    <w:p w14:paraId="152B3C43">
      <w:pPr>
        <w:wordWrap w:val="0"/>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综合素质及能力测试采取面试答辩形式，每名考生的面试时间原则上不少于20分钟，总分100 分。</w:t>
      </w:r>
    </w:p>
    <w:p w14:paraId="419B3E8F">
      <w:pPr>
        <w:wordWrap w:val="0"/>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复试小组成员独立对考生进行评分。每名考生的综合素 质及能力测试得分为复试小组成员评分的算术平均值。</w:t>
      </w:r>
    </w:p>
    <w:p w14:paraId="282202DC">
      <w:pPr>
        <w:wordWrap w:val="0"/>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（4）复试成绩核算（100分制）：总分100分。其中，专业课考试占3</w:t>
      </w:r>
      <w:r>
        <w:rPr>
          <w:rFonts w:eastAsia="仿宋_GB2312"/>
          <w:color w:val="000000" w:themeColor="text1"/>
          <w:sz w:val="32"/>
          <w:szCs w:val="32"/>
          <w14:textFill>
            <w14:solidFill>
              <w14:schemeClr w14:val="tx1"/>
            </w14:solidFill>
          </w14:textFill>
        </w:rPr>
        <w:t>5</w:t>
      </w:r>
      <w:r>
        <w:rPr>
          <w:rFonts w:hint="eastAsia" w:eastAsia="仿宋_GB2312"/>
          <w:color w:val="000000" w:themeColor="text1"/>
          <w:sz w:val="32"/>
          <w:szCs w:val="32"/>
          <w14:textFill>
            <w14:solidFill>
              <w14:schemeClr w14:val="tx1"/>
            </w14:solidFill>
          </w14:textFill>
        </w:rPr>
        <w:t>%，专业英语能力测试占</w:t>
      </w:r>
      <w:r>
        <w:rPr>
          <w:rFonts w:eastAsia="仿宋_GB2312"/>
          <w:color w:val="000000" w:themeColor="text1"/>
          <w:sz w:val="32"/>
          <w:szCs w:val="32"/>
          <w14:textFill>
            <w14:solidFill>
              <w14:schemeClr w14:val="tx1"/>
            </w14:solidFill>
          </w14:textFill>
        </w:rPr>
        <w:t>15</w:t>
      </w:r>
      <w:r>
        <w:rPr>
          <w:rFonts w:hint="eastAsia" w:eastAsia="仿宋_GB2312"/>
          <w:color w:val="000000" w:themeColor="text1"/>
          <w:sz w:val="32"/>
          <w:szCs w:val="32"/>
          <w14:textFill>
            <w14:solidFill>
              <w14:schemeClr w14:val="tx1"/>
            </w14:solidFill>
          </w14:textFill>
        </w:rPr>
        <w:t>%，综合素质及能力测试占</w:t>
      </w:r>
      <w:r>
        <w:rPr>
          <w:rFonts w:eastAsia="仿宋_GB2312"/>
          <w:color w:val="000000" w:themeColor="text1"/>
          <w:sz w:val="32"/>
          <w:szCs w:val="32"/>
          <w14:textFill>
            <w14:solidFill>
              <w14:schemeClr w14:val="tx1"/>
            </w14:solidFill>
          </w14:textFill>
        </w:rPr>
        <w:t>50</w:t>
      </w:r>
      <w:r>
        <w:rPr>
          <w:rFonts w:hint="eastAsia" w:eastAsia="仿宋_GB2312"/>
          <w:color w:val="000000" w:themeColor="text1"/>
          <w:sz w:val="32"/>
          <w:szCs w:val="32"/>
          <w14:textFill>
            <w14:solidFill>
              <w14:schemeClr w14:val="tx1"/>
            </w14:solidFill>
          </w14:textFill>
        </w:rPr>
        <w:t>%。计算公式如下：</w:t>
      </w:r>
    </w:p>
    <w:p w14:paraId="0F9662FF">
      <w:pPr>
        <w:wordWrap w:val="0"/>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复试成绩（满分100分）=专业课考试成绩×35%+专业英语能力测试总成绩×15%+综合素质及能力测试成绩×50%</w:t>
      </w:r>
    </w:p>
    <w:p w14:paraId="2D86E533">
      <w:pPr>
        <w:wordWrap w:val="0"/>
        <w:spacing w:line="560" w:lineRule="exact"/>
        <w:ind w:firstLine="645"/>
        <w:rPr>
          <w:rFonts w:eastAsia="黑体"/>
          <w:b/>
          <w:color w:val="000000" w:themeColor="text1"/>
          <w:sz w:val="32"/>
          <w:szCs w:val="32"/>
          <w14:textFill>
            <w14:solidFill>
              <w14:schemeClr w14:val="tx1"/>
            </w14:solidFill>
          </w14:textFill>
        </w:rPr>
      </w:pPr>
      <w:r>
        <w:rPr>
          <w:rFonts w:hint="eastAsia" w:eastAsia="黑体"/>
          <w:b/>
          <w:color w:val="000000" w:themeColor="text1"/>
          <w:sz w:val="32"/>
          <w:szCs w:val="32"/>
          <w14:textFill>
            <w14:solidFill>
              <w14:schemeClr w14:val="tx1"/>
            </w14:solidFill>
          </w14:textFill>
        </w:rPr>
        <w:t>五、总成绩核算及拟录取</w:t>
      </w:r>
    </w:p>
    <w:p w14:paraId="26F75877">
      <w:pPr>
        <w:wordWrap w:val="0"/>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1.考生总成绩核算（百分制）</w:t>
      </w:r>
    </w:p>
    <w:p w14:paraId="154DDB3D">
      <w:pPr>
        <w:wordWrap w:val="0"/>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按初试成绩和复试成绩之比 5：5进行加权获得，总分 100 分。</w:t>
      </w:r>
    </w:p>
    <w:p w14:paraId="2E011213">
      <w:pPr>
        <w:wordWrap w:val="0"/>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考试总成绩=（初试成绩÷5）×50%+复试成绩×50%</w:t>
      </w:r>
    </w:p>
    <w:p w14:paraId="439CB3CC">
      <w:pPr>
        <w:numPr>
          <w:ilvl w:val="-1"/>
          <w:numId w:val="0"/>
        </w:numPr>
        <w:wordWrap w:val="0"/>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拟录取工作</w:t>
      </w:r>
    </w:p>
    <w:p w14:paraId="20E3FFD6">
      <w:pPr>
        <w:wordWrap w:val="0"/>
        <w:spacing w:line="560" w:lineRule="exact"/>
        <w:ind w:firstLine="320" w:firstLineChars="1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auto"/>
          <w:sz w:val="32"/>
          <w:szCs w:val="32"/>
          <w:highlight w:val="none"/>
        </w:rPr>
        <w:t>按</w:t>
      </w:r>
      <w:r>
        <w:rPr>
          <w:rFonts w:hint="eastAsia" w:ascii="仿宋" w:hAnsi="仿宋" w:eastAsia="仿宋" w:cs="仿宋"/>
          <w:color w:val="auto"/>
          <w:sz w:val="32"/>
          <w:szCs w:val="32"/>
          <w:highlight w:val="none"/>
          <w:lang w:val="en-US" w:eastAsia="zh-CN"/>
        </w:rPr>
        <w:t>二级学科</w:t>
      </w:r>
      <w:r>
        <w:rPr>
          <w:rFonts w:hint="eastAsia" w:ascii="仿宋" w:hAnsi="仿宋" w:eastAsia="仿宋" w:cs="仿宋"/>
          <w:color w:val="000000" w:themeColor="text1"/>
          <w:sz w:val="32"/>
          <w:szCs w:val="32"/>
          <w:highlight w:val="none"/>
          <w14:textFill>
            <w14:solidFill>
              <w14:schemeClr w14:val="tx1"/>
            </w14:solidFill>
          </w14:textFill>
        </w:rPr>
        <w:t>总成绩排序由高至低录取。总成绩排序出现并列时，依次按复试成绩、初试成绩、外国语、业务课单科成绩排名进行录取。</w:t>
      </w:r>
    </w:p>
    <w:p w14:paraId="22BF582D">
      <w:pPr>
        <w:wordWrap w:val="0"/>
        <w:topLinePunct/>
        <w:spacing w:line="560" w:lineRule="exact"/>
        <w:ind w:firstLine="64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若拟录取名单里的考生放弃拟录取资格，将顺次录取总成绩排序靠前的考生。</w:t>
      </w:r>
      <w:r>
        <w:rPr>
          <w:rFonts w:hint="eastAsia" w:ascii="仿宋" w:hAnsi="仿宋" w:eastAsia="仿宋" w:cs="仿宋"/>
          <w:color w:val="000000"/>
          <w:kern w:val="0"/>
          <w:sz w:val="32"/>
          <w:szCs w:val="32"/>
        </w:rPr>
        <w:t>在候补录取过程中，如排序靠前的候补考生放弃录取资格，我校将跳过该生顺次候补录取紧随其后的候补考生</w:t>
      </w:r>
      <w:r>
        <w:rPr>
          <w:rFonts w:hint="eastAsia" w:ascii="仿宋" w:hAnsi="仿宋" w:eastAsia="仿宋" w:cs="仿宋"/>
          <w:color w:val="000000" w:themeColor="text1"/>
          <w:sz w:val="32"/>
          <w:szCs w:val="32"/>
          <w14:textFill>
            <w14:solidFill>
              <w14:schemeClr w14:val="tx1"/>
            </w14:solidFill>
          </w14:textFill>
        </w:rPr>
        <w:t>。</w:t>
      </w:r>
    </w:p>
    <w:p w14:paraId="5CA27B66">
      <w:pPr>
        <w:wordWrap w:val="0"/>
        <w:topLinePunct/>
        <w:spacing w:line="560" w:lineRule="exact"/>
        <w:ind w:firstLine="64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auto"/>
          <w:sz w:val="32"/>
          <w:szCs w:val="32"/>
          <w:u w:val="none"/>
        </w:rPr>
        <w:t>经确定为拟录取的考生，须及时确认接受拟录取（第一志愿考生由学校上传名单确认拟录取），未在规定时间内确认的考生，取消拟录取资格。</w:t>
      </w:r>
    </w:p>
    <w:p w14:paraId="77A62E01">
      <w:pPr>
        <w:snapToGrid w:val="0"/>
        <w:spacing w:line="560" w:lineRule="exact"/>
        <w:ind w:firstLine="635"/>
        <w:textAlignment w:val="baseline"/>
        <w:rPr>
          <w:rFonts w:hint="eastAsia" w:ascii="仿宋" w:hAnsi="仿宋" w:eastAsia="仿宋" w:cs="仿宋"/>
          <w:color w:val="000000"/>
          <w:kern w:val="0"/>
          <w:sz w:val="32"/>
          <w:szCs w:val="32"/>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复试成绩不及格(60分以下)者不予录取；思想政治素质和道德品质考核不合格不予录取；体检不合格者不予录取。</w:t>
      </w:r>
    </w:p>
    <w:p w14:paraId="37C4F2B0">
      <w:pPr>
        <w:wordWrap w:val="0"/>
        <w:spacing w:before="156" w:beforeLines="50" w:after="156" w:afterLines="50" w:line="540" w:lineRule="exact"/>
        <w:ind w:firstLine="64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在复试过程中有违规行为的考生，一经查实，即按照《国家教育考试违规处理办法》《普通高等学校招生违规行为处理暂行办法》等规定严肃处理，取消录取资格，记入《考生考试诚信档案》。入学后3个月内，学校将按照《普通高等学校学生管理规定》有关要求，对所有考生进行全面复查。复查不合格的，取消学籍；情节严重的，移交有关部门调查处理。</w:t>
      </w:r>
    </w:p>
    <w:p w14:paraId="5D5237D6">
      <w:pPr>
        <w:wordWrap w:val="0"/>
        <w:spacing w:before="156" w:beforeLines="50" w:after="156" w:afterLines="50" w:line="540" w:lineRule="exact"/>
        <w:ind w:firstLine="646"/>
        <w:rPr>
          <w:rFonts w:eastAsia="黑体"/>
          <w:b/>
          <w:color w:val="000000" w:themeColor="text1"/>
          <w:sz w:val="32"/>
          <w:szCs w:val="32"/>
          <w14:textFill>
            <w14:solidFill>
              <w14:schemeClr w14:val="tx1"/>
            </w14:solidFill>
          </w14:textFill>
        </w:rPr>
      </w:pPr>
      <w:r>
        <w:rPr>
          <w:rFonts w:hint="eastAsia" w:eastAsia="黑体"/>
          <w:b/>
          <w:color w:val="000000" w:themeColor="text1"/>
          <w:sz w:val="32"/>
          <w:szCs w:val="32"/>
          <w14:textFill>
            <w14:solidFill>
              <w14:schemeClr w14:val="tx1"/>
            </w14:solidFill>
          </w14:textFill>
        </w:rPr>
        <w:t>六、复试方式</w:t>
      </w:r>
    </w:p>
    <w:p w14:paraId="090CFD97">
      <w:pPr>
        <w:wordWrap w:val="0"/>
        <w:topLinePunct/>
        <w:spacing w:line="560" w:lineRule="exact"/>
        <w:ind w:firstLine="646"/>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采取现场复试方式，未参加复试的考生视为自动放弃。</w:t>
      </w:r>
    </w:p>
    <w:p w14:paraId="4CD4C8BC">
      <w:pPr>
        <w:wordWrap w:val="0"/>
        <w:spacing w:before="156" w:beforeLines="50" w:after="156" w:afterLines="50" w:line="540" w:lineRule="exact"/>
        <w:ind w:firstLine="646"/>
        <w:rPr>
          <w:rFonts w:eastAsia="黑体"/>
          <w:b/>
          <w:color w:val="000000" w:themeColor="text1"/>
          <w:sz w:val="32"/>
          <w:szCs w:val="32"/>
          <w14:textFill>
            <w14:solidFill>
              <w14:schemeClr w14:val="tx1"/>
            </w14:solidFill>
          </w14:textFill>
        </w:rPr>
      </w:pPr>
      <w:r>
        <w:rPr>
          <w:rFonts w:hint="eastAsia" w:eastAsia="黑体"/>
          <w:b/>
          <w:color w:val="000000" w:themeColor="text1"/>
          <w:sz w:val="32"/>
          <w:szCs w:val="32"/>
          <w14:textFill>
            <w14:solidFill>
              <w14:schemeClr w14:val="tx1"/>
            </w14:solidFill>
          </w14:textFill>
        </w:rPr>
        <w:t>七、具体安排和要求</w:t>
      </w:r>
    </w:p>
    <w:p w14:paraId="0546DE3F">
      <w:pPr>
        <w:wordWrap w:val="0"/>
        <w:topLinePunct/>
        <w:spacing w:line="560" w:lineRule="exact"/>
        <w:ind w:firstLine="646"/>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1.报到时间</w:t>
      </w:r>
    </w:p>
    <w:p w14:paraId="0E4907B7">
      <w:pPr>
        <w:wordWrap w:val="0"/>
        <w:topLinePunct/>
        <w:spacing w:line="560" w:lineRule="exact"/>
        <w:ind w:firstLine="646"/>
        <w:rPr>
          <w:rFonts w:eastAsia="仿宋_GB2312"/>
          <w:color w:val="auto"/>
          <w:sz w:val="32"/>
          <w:szCs w:val="32"/>
        </w:rPr>
      </w:pPr>
      <w:r>
        <w:rPr>
          <w:rFonts w:hint="eastAsia" w:eastAsia="仿宋_GB2312"/>
          <w:color w:val="auto"/>
          <w:sz w:val="32"/>
          <w:szCs w:val="32"/>
          <w:lang w:val="en-US" w:eastAsia="zh-CN"/>
        </w:rPr>
        <w:t>4</w:t>
      </w:r>
      <w:r>
        <w:rPr>
          <w:rFonts w:hint="eastAsia" w:eastAsia="仿宋_GB2312"/>
          <w:color w:val="auto"/>
          <w:sz w:val="32"/>
          <w:szCs w:val="32"/>
        </w:rPr>
        <w:t>月</w:t>
      </w:r>
      <w:r>
        <w:rPr>
          <w:rFonts w:hint="eastAsia" w:eastAsia="仿宋_GB2312"/>
          <w:color w:val="auto"/>
          <w:sz w:val="32"/>
          <w:szCs w:val="32"/>
          <w:lang w:val="en-US" w:eastAsia="zh-CN"/>
        </w:rPr>
        <w:t>1</w:t>
      </w:r>
      <w:r>
        <w:rPr>
          <w:rFonts w:hint="eastAsia" w:eastAsia="仿宋_GB2312"/>
          <w:color w:val="auto"/>
          <w:sz w:val="32"/>
          <w:szCs w:val="32"/>
        </w:rPr>
        <w:t>日(星期</w:t>
      </w:r>
      <w:r>
        <w:rPr>
          <w:rFonts w:hint="eastAsia" w:eastAsia="仿宋_GB2312"/>
          <w:color w:val="auto"/>
          <w:sz w:val="32"/>
          <w:szCs w:val="32"/>
          <w:lang w:val="en-US" w:eastAsia="zh-CN"/>
        </w:rPr>
        <w:t>二</w:t>
      </w:r>
      <w:r>
        <w:rPr>
          <w:rFonts w:hint="eastAsia" w:eastAsia="仿宋_GB2312"/>
          <w:color w:val="auto"/>
          <w:sz w:val="32"/>
          <w:szCs w:val="32"/>
        </w:rPr>
        <w:t xml:space="preserve">) </w:t>
      </w:r>
      <w:r>
        <w:rPr>
          <w:rFonts w:hint="eastAsia" w:eastAsia="仿宋_GB2312"/>
          <w:color w:val="auto"/>
          <w:sz w:val="32"/>
          <w:szCs w:val="32"/>
          <w:lang w:val="en-US" w:eastAsia="zh-CN"/>
        </w:rPr>
        <w:t>8</w:t>
      </w:r>
      <w:r>
        <w:rPr>
          <w:rFonts w:hint="eastAsia" w:eastAsia="仿宋_GB2312"/>
          <w:color w:val="auto"/>
          <w:sz w:val="32"/>
          <w:szCs w:val="32"/>
          <w:lang w:eastAsia="zh-CN"/>
        </w:rPr>
        <w:t>：</w:t>
      </w:r>
      <w:r>
        <w:rPr>
          <w:rFonts w:hint="eastAsia" w:eastAsia="仿宋_GB2312"/>
          <w:color w:val="auto"/>
          <w:sz w:val="32"/>
          <w:szCs w:val="32"/>
          <w:lang w:val="en-US" w:eastAsia="zh-CN"/>
        </w:rPr>
        <w:t>3</w:t>
      </w:r>
      <w:r>
        <w:rPr>
          <w:rFonts w:hint="eastAsia" w:eastAsia="仿宋_GB2312"/>
          <w:color w:val="auto"/>
          <w:sz w:val="32"/>
          <w:szCs w:val="32"/>
        </w:rPr>
        <w:t>0-9：</w:t>
      </w:r>
      <w:r>
        <w:rPr>
          <w:rFonts w:hint="eastAsia" w:eastAsia="仿宋_GB2312"/>
          <w:color w:val="auto"/>
          <w:sz w:val="32"/>
          <w:szCs w:val="32"/>
          <w:lang w:val="en-US" w:eastAsia="zh-CN"/>
        </w:rPr>
        <w:t>2</w:t>
      </w:r>
      <w:r>
        <w:rPr>
          <w:rFonts w:hint="eastAsia" w:eastAsia="仿宋_GB2312"/>
          <w:color w:val="auto"/>
          <w:sz w:val="32"/>
          <w:szCs w:val="32"/>
        </w:rPr>
        <w:t>0</w:t>
      </w:r>
    </w:p>
    <w:p w14:paraId="38FBF765">
      <w:pPr>
        <w:wordWrap w:val="0"/>
        <w:topLinePunct/>
        <w:spacing w:line="560" w:lineRule="exact"/>
        <w:ind w:firstLine="646"/>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2.报到地点</w:t>
      </w:r>
    </w:p>
    <w:p w14:paraId="0B58E3D0">
      <w:pPr>
        <w:wordWrap w:val="0"/>
        <w:topLinePunct/>
        <w:spacing w:line="560" w:lineRule="exact"/>
        <w:ind w:firstLine="646"/>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成都医学院新都校区基础医学院 (实验楼西区2楼会议室)。</w:t>
      </w:r>
    </w:p>
    <w:p w14:paraId="2FDC6E9F">
      <w:pPr>
        <w:wordWrap w:val="0"/>
        <w:topLinePunct/>
        <w:spacing w:line="560" w:lineRule="exact"/>
        <w:ind w:firstLine="646"/>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地址：四川省成都市新都区新都大道 783 号 (成都地铁3号线至成都医学院站C出口；650 路公交车至成都医学院新都校区南门)。</w:t>
      </w:r>
    </w:p>
    <w:p w14:paraId="213CFB6F">
      <w:pPr>
        <w:wordWrap w:val="0"/>
        <w:topLinePunct/>
        <w:spacing w:line="560" w:lineRule="exact"/>
        <w:ind w:firstLine="646"/>
        <w:rPr>
          <w:rFonts w:hint="eastAsia" w:ascii="仿宋" w:hAnsi="仿宋" w:eastAsia="仿宋" w:cs="仿宋"/>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资格审查材料</w:t>
      </w:r>
    </w:p>
    <w:p w14:paraId="68A51F0A">
      <w:pPr>
        <w:wordWrap w:val="0"/>
        <w:topLinePunct/>
        <w:spacing w:line="560" w:lineRule="exact"/>
        <w:ind w:firstLine="64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报到时，考生须提交下述材料作为资格审查，对不符合 教育部规定或弄虚作假者，取消其复试资格。</w:t>
      </w:r>
    </w:p>
    <w:p w14:paraId="50F3BEA3">
      <w:pPr>
        <w:wordWrap w:val="0"/>
        <w:topLinePunct/>
        <w:spacing w:line="560" w:lineRule="exact"/>
        <w:ind w:firstLine="64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考生复试时须携带本人以下材料：</w:t>
      </w:r>
    </w:p>
    <w:p w14:paraId="48B6678C">
      <w:pPr>
        <w:spacing w:line="540" w:lineRule="exact"/>
        <w:ind w:firstLine="64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①所有复试考生：有效居民身份证（正反面）、准考证、思想政治素质和品德考核表；</w:t>
      </w:r>
    </w:p>
    <w:p w14:paraId="423339FA">
      <w:pPr>
        <w:spacing w:line="540" w:lineRule="exact"/>
        <w:ind w:firstLine="646"/>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②应届本科毕业生还须提供学生证（或学信网“教育部学籍在线验证报告”）；</w:t>
      </w:r>
    </w:p>
    <w:p w14:paraId="0071C2CC">
      <w:pPr>
        <w:spacing w:line="540" w:lineRule="exact"/>
        <w:ind w:firstLine="645"/>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③往届生还须提供毕业证和学位证；</w:t>
      </w:r>
    </w:p>
    <w:p w14:paraId="554BF94A">
      <w:pPr>
        <w:spacing w:line="540" w:lineRule="exact"/>
        <w:ind w:firstLine="645"/>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④未能通过学历网上校验的考生须提供学信网“教育部学历证书电子注册备案表”；</w:t>
      </w:r>
    </w:p>
    <w:p w14:paraId="20362DB6">
      <w:pPr>
        <w:spacing w:line="540" w:lineRule="exact"/>
        <w:ind w:firstLine="645"/>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⑤大学期间成绩单原件或档案中成绩单（加盖档案单位公章）。</w:t>
      </w:r>
    </w:p>
    <w:p w14:paraId="5EF6A939">
      <w:pPr>
        <w:wordWrap/>
        <w:topLinePunct w:val="0"/>
        <w:spacing w:line="540" w:lineRule="exact"/>
        <w:ind w:firstLine="645"/>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所有材料需准备原件和复印件各1套。</w:t>
      </w:r>
    </w:p>
    <w:p w14:paraId="4CB7367F">
      <w:pPr>
        <w:wordWrap/>
        <w:topLinePunct w:val="0"/>
        <w:spacing w:line="540" w:lineRule="exact"/>
        <w:ind w:firstLine="645" w:firstLineChars="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4.个人简历</w:t>
      </w:r>
      <w:r>
        <w:rPr>
          <w:rFonts w:hint="eastAsia" w:ascii="仿宋" w:hAnsi="仿宋" w:eastAsia="仿宋" w:cs="仿宋"/>
          <w:color w:val="000000" w:themeColor="text1"/>
          <w:sz w:val="32"/>
          <w:szCs w:val="32"/>
          <w:lang w:val="en-US" w:eastAsia="zh-CN"/>
          <w14:textFill>
            <w14:solidFill>
              <w14:schemeClr w14:val="tx1"/>
            </w14:solidFill>
          </w14:textFill>
        </w:rPr>
        <w:t>纸质版5份，</w:t>
      </w:r>
      <w:r>
        <w:rPr>
          <w:rFonts w:hint="eastAsia" w:ascii="仿宋" w:hAnsi="仿宋" w:eastAsia="仿宋" w:cs="仿宋"/>
          <w:color w:val="000000" w:themeColor="text1"/>
          <w:sz w:val="32"/>
          <w:szCs w:val="32"/>
          <w14:textFill>
            <w14:solidFill>
              <w14:schemeClr w14:val="tx1"/>
            </w14:solidFill>
          </w14:textFill>
        </w:rPr>
        <w:t>（含中、英文自我介绍、近期证件照或生活照1张、思想政治表现、外语水平、初试成绩、大学期间成绩、业务和科研能力、攻读硕士学位研究计划等）</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电子版在3月30日之前发QQ邮箱：3674179368</w:t>
      </w:r>
      <w:r>
        <w:rPr>
          <w:rFonts w:hint="eastAsia" w:ascii="仿宋" w:hAnsi="仿宋" w:eastAsia="仿宋" w:cs="仿宋"/>
          <w:color w:val="000000" w:themeColor="text1"/>
          <w:sz w:val="32"/>
          <w:szCs w:val="32"/>
          <w14:textFill>
            <w14:solidFill>
              <w14:schemeClr w14:val="tx1"/>
            </w14:solidFill>
          </w14:textFill>
        </w:rPr>
        <w:t>。</w:t>
      </w:r>
    </w:p>
    <w:p w14:paraId="7932DF4D">
      <w:pPr>
        <w:wordWrap/>
        <w:topLinePunct w:val="0"/>
        <w:spacing w:line="540" w:lineRule="exact"/>
        <w:ind w:firstLine="645"/>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5.诚信复试承诺书</w:t>
      </w:r>
      <w:r>
        <w:rPr>
          <w:rFonts w:hint="eastAsia" w:ascii="仿宋" w:hAnsi="仿宋" w:eastAsia="仿宋" w:cs="仿宋"/>
          <w:color w:val="000000" w:themeColor="text1"/>
          <w:sz w:val="32"/>
          <w:szCs w:val="32"/>
          <w:lang w:val="en-US" w:eastAsia="zh-CN"/>
          <w14:textFill>
            <w14:solidFill>
              <w14:schemeClr w14:val="tx1"/>
            </w14:solidFill>
          </w14:textFill>
        </w:rPr>
        <w:t>1份</w:t>
      </w:r>
      <w:r>
        <w:rPr>
          <w:rFonts w:hint="eastAsia" w:ascii="仿宋" w:hAnsi="仿宋" w:eastAsia="仿宋" w:cs="仿宋"/>
          <w:color w:val="000000" w:themeColor="text1"/>
          <w:sz w:val="32"/>
          <w:szCs w:val="32"/>
          <w14:textFill>
            <w14:solidFill>
              <w14:schemeClr w14:val="tx1"/>
            </w14:solidFill>
          </w14:textFill>
        </w:rPr>
        <w:t>，需本人签字。</w:t>
      </w:r>
    </w:p>
    <w:p w14:paraId="04A633FA">
      <w:pPr>
        <w:wordWrap/>
        <w:topLinePunct w:val="0"/>
        <w:spacing w:line="540" w:lineRule="exact"/>
        <w:ind w:firstLine="645"/>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6.心理测试。</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日8点之前完成，</w:t>
      </w:r>
      <w:r>
        <w:rPr>
          <w:rFonts w:hint="eastAsia" w:ascii="仿宋" w:hAnsi="仿宋" w:eastAsia="仿宋" w:cs="仿宋"/>
          <w:color w:val="000000" w:themeColor="text1"/>
          <w:sz w:val="32"/>
          <w:szCs w:val="32"/>
          <w14:textFill>
            <w14:solidFill>
              <w14:schemeClr w14:val="tx1"/>
            </w14:solidFill>
          </w14:textFill>
        </w:rPr>
        <w:t>操作指南</w:t>
      </w:r>
      <w:r>
        <w:rPr>
          <w:rFonts w:hint="eastAsia" w:ascii="仿宋" w:hAnsi="仿宋" w:eastAsia="仿宋" w:cs="仿宋"/>
          <w:color w:val="000000" w:themeColor="text1"/>
          <w:sz w:val="32"/>
          <w:szCs w:val="32"/>
          <w:lang w:val="en-US" w:eastAsia="zh-CN"/>
          <w14:textFill>
            <w14:solidFill>
              <w14:schemeClr w14:val="tx1"/>
            </w14:solidFill>
          </w14:textFill>
        </w:rPr>
        <w:t>见：</w:t>
      </w:r>
      <w:r>
        <w:rPr>
          <w:rFonts w:hint="eastAsia" w:ascii="仿宋" w:hAnsi="仿宋" w:eastAsia="仿宋" w:cs="仿宋"/>
          <w:color w:val="000000" w:themeColor="text1"/>
          <w:sz w:val="32"/>
          <w:szCs w:val="32"/>
          <w14:textFill>
            <w14:solidFill>
              <w14:schemeClr w14:val="tx1"/>
            </w14:solidFill>
          </w14:textFill>
        </w:rPr>
        <w:t>https://yjsy.cmc.edu.cn/info/1016/2293.htm</w:t>
      </w:r>
      <w:r>
        <w:rPr>
          <w:rFonts w:hint="eastAsia" w:ascii="仿宋" w:hAnsi="仿宋" w:eastAsia="仿宋" w:cs="仿宋"/>
          <w:color w:val="000000" w:themeColor="text1"/>
          <w:sz w:val="32"/>
          <w:szCs w:val="32"/>
          <w:highlight w:val="none"/>
          <w14:textFill>
            <w14:solidFill>
              <w14:schemeClr w14:val="tx1"/>
            </w14:solidFill>
          </w14:textFill>
        </w:rPr>
        <w:t>。</w:t>
      </w:r>
    </w:p>
    <w:p w14:paraId="72D898FE">
      <w:pPr>
        <w:wordWrap w:val="0"/>
        <w:topLinePunct/>
        <w:spacing w:line="560" w:lineRule="exact"/>
        <w:ind w:firstLine="646"/>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7.专业课+</w:t>
      </w:r>
      <w:r>
        <w:rPr>
          <w:rFonts w:hint="eastAsia" w:ascii="仿宋" w:hAnsi="仿宋" w:eastAsia="仿宋" w:cs="仿宋"/>
          <w:sz w:val="32"/>
          <w:szCs w:val="32"/>
          <w:highlight w:val="none"/>
        </w:rPr>
        <w:t>英语阅读能力</w:t>
      </w:r>
      <w:r>
        <w:rPr>
          <w:rFonts w:hint="eastAsia" w:ascii="仿宋" w:hAnsi="仿宋" w:eastAsia="仿宋" w:cs="仿宋"/>
          <w:color w:val="000000" w:themeColor="text1"/>
          <w:sz w:val="32"/>
          <w:szCs w:val="32"/>
          <w:highlight w:val="none"/>
          <w14:textFill>
            <w14:solidFill>
              <w14:schemeClr w14:val="tx1"/>
            </w14:solidFill>
          </w14:textFill>
        </w:rPr>
        <w:t>笔试</w:t>
      </w:r>
    </w:p>
    <w:p w14:paraId="4D42EC32">
      <w:pPr>
        <w:wordWrap w:val="0"/>
        <w:topLinePunct/>
        <w:spacing w:line="560" w:lineRule="exact"/>
        <w:ind w:firstLine="646"/>
        <w:rPr>
          <w:rFonts w:hint="eastAsia" w:ascii="仿宋" w:hAnsi="仿宋" w:eastAsia="仿宋" w:cs="仿宋"/>
          <w:sz w:val="32"/>
          <w:szCs w:val="32"/>
          <w:highlight w:val="none"/>
          <w:lang w:eastAsia="zh-CN"/>
        </w:rPr>
      </w:pPr>
      <w:r>
        <w:rPr>
          <w:rFonts w:hint="eastAsia" w:ascii="仿宋" w:hAnsi="仿宋" w:eastAsia="仿宋" w:cs="仿宋"/>
          <w:color w:val="000000" w:themeColor="text1"/>
          <w:sz w:val="32"/>
          <w:szCs w:val="32"/>
          <w:highlight w:val="none"/>
          <w14:textFill>
            <w14:solidFill>
              <w14:schemeClr w14:val="tx1"/>
            </w14:solidFill>
          </w14:textFill>
        </w:rPr>
        <w:t>笔试时间：</w:t>
      </w:r>
      <w:r>
        <w:rPr>
          <w:rFonts w:hint="eastAsia" w:ascii="仿宋" w:hAnsi="仿宋" w:eastAsia="仿宋" w:cs="仿宋"/>
          <w:color w:val="000000" w:themeColor="text1"/>
          <w:sz w:val="32"/>
          <w:szCs w:val="32"/>
          <w:highlight w:val="none"/>
          <w:lang w:val="en-US" w:eastAsia="zh-CN"/>
          <w14:textFill>
            <w14:solidFill>
              <w14:schemeClr w14:val="tx1"/>
            </w14:solidFill>
          </w14:textFill>
        </w:rPr>
        <w:t>4</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日 10：00—12：30（</w:t>
      </w:r>
      <w:r>
        <w:rPr>
          <w:rFonts w:hint="eastAsia" w:ascii="仿宋" w:hAnsi="仿宋" w:eastAsia="仿宋" w:cs="仿宋"/>
          <w:sz w:val="32"/>
          <w:szCs w:val="32"/>
          <w:highlight w:val="none"/>
        </w:rPr>
        <w:t>专业课考试：10：00-12：00，英语阅读能力考试：12：00-12：30）</w:t>
      </w:r>
      <w:r>
        <w:rPr>
          <w:rFonts w:hint="eastAsia" w:ascii="仿宋" w:hAnsi="仿宋" w:eastAsia="仿宋" w:cs="仿宋"/>
          <w:sz w:val="32"/>
          <w:szCs w:val="32"/>
          <w:highlight w:val="none"/>
          <w:lang w:eastAsia="zh-CN"/>
        </w:rPr>
        <w:t>。</w:t>
      </w:r>
    </w:p>
    <w:p w14:paraId="307AF49D">
      <w:pPr>
        <w:wordWrap w:val="0"/>
        <w:topLinePunct/>
        <w:spacing w:line="560" w:lineRule="exact"/>
        <w:ind w:firstLine="646"/>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笔试地点：新都校区教学楼（具体教室报到时通知）</w:t>
      </w:r>
    </w:p>
    <w:p w14:paraId="3A1ACF3E">
      <w:pPr>
        <w:wordWrap w:val="0"/>
        <w:topLinePunct/>
        <w:spacing w:line="560" w:lineRule="exact"/>
        <w:ind w:firstLine="646"/>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笔试形式：闭卷考试</w:t>
      </w:r>
    </w:p>
    <w:p w14:paraId="4A8EAC6C">
      <w:pPr>
        <w:wordWrap w:val="0"/>
        <w:topLinePunct/>
        <w:spacing w:line="560" w:lineRule="exact"/>
        <w:ind w:firstLine="646"/>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注意事项：笔试时出示准考证和身份证</w:t>
      </w:r>
    </w:p>
    <w:p w14:paraId="53BDC2F3">
      <w:pPr>
        <w:wordWrap w:val="0"/>
        <w:topLinePunct/>
        <w:spacing w:line="560" w:lineRule="exact"/>
        <w:ind w:firstLine="646"/>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8.综合面试</w:t>
      </w:r>
    </w:p>
    <w:p w14:paraId="22537898">
      <w:pPr>
        <w:wordWrap w:val="0"/>
        <w:topLinePunct/>
        <w:spacing w:line="560" w:lineRule="exact"/>
        <w:ind w:firstLine="646"/>
        <w:rPr>
          <w:rFonts w:hint="eastAsia" w:ascii="仿宋" w:hAnsi="仿宋" w:eastAsia="仿宋" w:cs="仿宋"/>
          <w:color w:val="auto"/>
          <w:sz w:val="32"/>
          <w:szCs w:val="32"/>
          <w:highlight w:val="none"/>
        </w:rPr>
      </w:pPr>
      <w:r>
        <w:rPr>
          <w:rFonts w:hint="eastAsia" w:ascii="仿宋" w:hAnsi="仿宋" w:eastAsia="仿宋" w:cs="仿宋"/>
          <w:color w:val="000000" w:themeColor="text1"/>
          <w:sz w:val="32"/>
          <w:szCs w:val="32"/>
          <w:highlight w:val="none"/>
          <w14:textFill>
            <w14:solidFill>
              <w14:schemeClr w14:val="tx1"/>
            </w14:solidFill>
          </w14:textFill>
        </w:rPr>
        <w:t>面试时间：</w:t>
      </w:r>
      <w:r>
        <w:rPr>
          <w:rFonts w:hint="eastAsia" w:ascii="仿宋" w:hAnsi="仿宋" w:eastAsia="仿宋" w:cs="仿宋"/>
          <w:color w:val="000000" w:themeColor="text1"/>
          <w:sz w:val="32"/>
          <w:szCs w:val="32"/>
          <w:highlight w:val="none"/>
          <w:lang w:val="en-US" w:eastAsia="zh-CN"/>
          <w14:textFill>
            <w14:solidFill>
              <w14:schemeClr w14:val="tx1"/>
            </w14:solidFill>
          </w14:textFill>
        </w:rPr>
        <w:t>4</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日14：30 开始</w:t>
      </w:r>
    </w:p>
    <w:p w14:paraId="7AB3B020">
      <w:pPr>
        <w:wordWrap w:val="0"/>
        <w:topLinePunct/>
        <w:spacing w:line="560" w:lineRule="exact"/>
        <w:ind w:firstLine="646"/>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面试地点：基础医学院会议室（实验楼西区2楼）</w:t>
      </w:r>
    </w:p>
    <w:p w14:paraId="6716E5CD">
      <w:pPr>
        <w:wordWrap w:val="0"/>
        <w:topLinePunct/>
        <w:spacing w:line="560" w:lineRule="exact"/>
        <w:ind w:firstLine="646"/>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面试内容：包括综合素质能力考核、英语听说能力测试等。</w:t>
      </w:r>
    </w:p>
    <w:p w14:paraId="093E03E2">
      <w:pPr>
        <w:wordWrap w:val="0"/>
        <w:spacing w:before="156" w:beforeLines="50" w:after="156" w:afterLines="50" w:line="560" w:lineRule="exact"/>
        <w:ind w:firstLine="646"/>
        <w:rPr>
          <w:rFonts w:eastAsia="黑体"/>
          <w:b/>
          <w:color w:val="000000" w:themeColor="text1"/>
          <w:sz w:val="32"/>
          <w:szCs w:val="32"/>
          <w:highlight w:val="none"/>
          <w14:textFill>
            <w14:solidFill>
              <w14:schemeClr w14:val="tx1"/>
            </w14:solidFill>
          </w14:textFill>
        </w:rPr>
      </w:pPr>
      <w:r>
        <w:rPr>
          <w:rFonts w:hint="eastAsia" w:eastAsia="黑体"/>
          <w:b/>
          <w:color w:val="000000" w:themeColor="text1"/>
          <w:sz w:val="32"/>
          <w:szCs w:val="32"/>
          <w:highlight w:val="none"/>
          <w14:textFill>
            <w14:solidFill>
              <w14:schemeClr w14:val="tx1"/>
            </w14:solidFill>
          </w14:textFill>
        </w:rPr>
        <w:t>八、复试费</w:t>
      </w:r>
    </w:p>
    <w:p w14:paraId="63302B5D">
      <w:pPr>
        <w:wordWrap w:val="0"/>
        <w:spacing w:before="156" w:beforeLines="50" w:after="156" w:afterLines="50" w:line="560" w:lineRule="exact"/>
        <w:ind w:firstLine="646"/>
        <w:rPr>
          <w:rFonts w:hint="eastAsia" w:eastAsia="黑体"/>
          <w:b/>
          <w:color w:val="000000" w:themeColor="text1"/>
          <w:sz w:val="32"/>
          <w:szCs w:val="32"/>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复试费为120元/生。通过“成都医学院计划财务处”微信公众号缴纳，缴费指南见：https://yjsy.cmc.edu.cn/info/1016/2289.htm</w:t>
      </w:r>
      <w:r>
        <w:rPr>
          <w:rFonts w:hint="eastAsia" w:eastAsia="仿宋_GB2312"/>
          <w:color w:val="000000" w:themeColor="text1"/>
          <w:sz w:val="32"/>
          <w:szCs w:val="32"/>
          <w:highlight w:val="none"/>
          <w:lang w:eastAsia="zh-CN"/>
          <w14:textFill>
            <w14:solidFill>
              <w14:schemeClr w14:val="tx1"/>
            </w14:solidFill>
          </w14:textFill>
        </w:rPr>
        <w:t>。</w:t>
      </w:r>
    </w:p>
    <w:p w14:paraId="42E30C20">
      <w:pPr>
        <w:wordWrap w:val="0"/>
        <w:spacing w:before="156" w:beforeLines="50" w:after="156" w:afterLines="50" w:line="560" w:lineRule="exact"/>
        <w:ind w:firstLine="646"/>
        <w:rPr>
          <w:rFonts w:eastAsia="黑体"/>
          <w:b/>
          <w:color w:val="000000" w:themeColor="text1"/>
          <w:sz w:val="32"/>
          <w:szCs w:val="32"/>
          <w14:textFill>
            <w14:solidFill>
              <w14:schemeClr w14:val="tx1"/>
            </w14:solidFill>
          </w14:textFill>
        </w:rPr>
      </w:pPr>
      <w:r>
        <w:rPr>
          <w:rFonts w:hint="eastAsia" w:eastAsia="黑体"/>
          <w:b/>
          <w:color w:val="000000" w:themeColor="text1"/>
          <w:sz w:val="32"/>
          <w:szCs w:val="32"/>
          <w14:textFill>
            <w14:solidFill>
              <w14:schemeClr w14:val="tx1"/>
            </w14:solidFill>
          </w14:textFill>
        </w:rPr>
        <w:t>九、体检</w:t>
      </w:r>
    </w:p>
    <w:p w14:paraId="403C3735">
      <w:pPr>
        <w:wordWrap w:val="0"/>
        <w:spacing w:before="156" w:beforeLines="50" w:line="560" w:lineRule="exact"/>
        <w:ind w:firstLine="646"/>
        <w:rPr>
          <w:rFonts w:eastAsia="仿宋_GB2312"/>
          <w:sz w:val="32"/>
          <w:szCs w:val="32"/>
        </w:rPr>
      </w:pPr>
      <w:r>
        <w:rPr>
          <w:rFonts w:hint="eastAsia" w:eastAsia="仿宋_GB2312"/>
          <w:color w:val="000000" w:themeColor="text1"/>
          <w:sz w:val="32"/>
          <w:szCs w:val="32"/>
          <w14:textFill>
            <w14:solidFill>
              <w14:schemeClr w14:val="tx1"/>
            </w14:solidFill>
          </w14:textFill>
        </w:rPr>
        <w:t>考生拟录取后可选择当地二甲及以上医院进行体检（1寸照片贴体检表），加盖公章的体检表</w:t>
      </w:r>
      <w:r>
        <w:rPr>
          <w:rFonts w:hint="eastAsia" w:eastAsia="仿宋_GB2312"/>
          <w:b/>
          <w:color w:val="000000" w:themeColor="text1"/>
          <w:sz w:val="32"/>
          <w:szCs w:val="32"/>
          <w:u w:val="single"/>
          <w14:textFill>
            <w14:solidFill>
              <w14:schemeClr w14:val="tx1"/>
            </w14:solidFill>
          </w14:textFill>
        </w:rPr>
        <w:t>原件</w:t>
      </w:r>
      <w:r>
        <w:rPr>
          <w:rFonts w:hint="eastAsia" w:eastAsia="仿宋_GB2312"/>
          <w:color w:val="000000" w:themeColor="text1"/>
          <w:sz w:val="32"/>
          <w:szCs w:val="32"/>
          <w14:textFill>
            <w14:solidFill>
              <w14:schemeClr w14:val="tx1"/>
            </w14:solidFill>
          </w14:textFill>
        </w:rPr>
        <w:t>请于拟录取名单公示发布7个工作日内快递邮件到我院。体检项目按照《普通高等学校招生体检工作指导意见》（教学〔2003〕3号）和《教育部办公厅、卫生部办公厅关于普通高等学校招生学生入学身体检查取消乙肝项目检测有关问题的通知》（教学厅〔2010〕2号）要</w:t>
      </w:r>
      <w:r>
        <w:rPr>
          <w:rFonts w:hint="eastAsia" w:eastAsia="仿宋_GB2312"/>
          <w:sz w:val="32"/>
          <w:szCs w:val="32"/>
        </w:rPr>
        <w:t>求执行。</w:t>
      </w:r>
    </w:p>
    <w:p w14:paraId="3FAD015C">
      <w:pPr>
        <w:wordWrap w:val="0"/>
        <w:spacing w:after="156" w:afterLines="50" w:line="560" w:lineRule="exact"/>
        <w:ind w:firstLine="646"/>
        <w:rPr>
          <w:rFonts w:eastAsia="仿宋_GB2312"/>
          <w:color w:val="000000" w:themeColor="text1"/>
          <w:sz w:val="32"/>
          <w:szCs w:val="32"/>
          <w14:textFill>
            <w14:solidFill>
              <w14:schemeClr w14:val="tx1"/>
            </w14:solidFill>
          </w14:textFill>
        </w:rPr>
      </w:pPr>
      <w:r>
        <w:rPr>
          <w:rFonts w:hint="eastAsia" w:eastAsia="仿宋_GB2312"/>
          <w:sz w:val="32"/>
          <w:szCs w:val="32"/>
        </w:rPr>
        <w:t>收件人：梁老师，电话：13708011290。收件地址：四川省成都市新都区新都大道783号成都医学院基础医学院。</w:t>
      </w:r>
      <w:r>
        <w:rPr>
          <w:rFonts w:hint="eastAsia" w:eastAsia="仿宋_GB2312"/>
          <w:b/>
          <w:sz w:val="32"/>
          <w:szCs w:val="32"/>
          <w:u w:val="single"/>
        </w:rPr>
        <w:t>为保障邮件寄送的安全性，建议考生采用顺丰快递邮</w:t>
      </w:r>
      <w:r>
        <w:rPr>
          <w:rFonts w:hint="eastAsia" w:eastAsia="仿宋_GB2312"/>
          <w:b/>
          <w:color w:val="000000" w:themeColor="text1"/>
          <w:sz w:val="32"/>
          <w:szCs w:val="32"/>
          <w:u w:val="single"/>
          <w14:textFill>
            <w14:solidFill>
              <w14:schemeClr w14:val="tx1"/>
            </w14:solidFill>
          </w14:textFill>
        </w:rPr>
        <w:t>寄。</w:t>
      </w:r>
    </w:p>
    <w:p w14:paraId="741E0E47">
      <w:pPr>
        <w:wordWrap w:val="0"/>
        <w:spacing w:before="156" w:beforeLines="50" w:after="156" w:afterLines="50" w:line="560" w:lineRule="exact"/>
        <w:ind w:firstLine="646"/>
        <w:rPr>
          <w:rFonts w:eastAsia="黑体"/>
          <w:b/>
          <w:color w:val="000000" w:themeColor="text1"/>
          <w:sz w:val="32"/>
          <w:szCs w:val="32"/>
          <w14:textFill>
            <w14:solidFill>
              <w14:schemeClr w14:val="tx1"/>
            </w14:solidFill>
          </w14:textFill>
        </w:rPr>
      </w:pPr>
      <w:r>
        <w:rPr>
          <w:rFonts w:hint="eastAsia" w:eastAsia="黑体"/>
          <w:b/>
          <w:color w:val="000000" w:themeColor="text1"/>
          <w:sz w:val="32"/>
          <w:szCs w:val="32"/>
          <w14:textFill>
            <w14:solidFill>
              <w14:schemeClr w14:val="tx1"/>
            </w14:solidFill>
          </w14:textFill>
        </w:rPr>
        <w:t>十</w:t>
      </w:r>
      <w:r>
        <w:rPr>
          <w:rFonts w:eastAsia="黑体"/>
          <w:b/>
          <w:color w:val="000000" w:themeColor="text1"/>
          <w:sz w:val="32"/>
          <w:szCs w:val="32"/>
          <w14:textFill>
            <w14:solidFill>
              <w14:schemeClr w14:val="tx1"/>
            </w14:solidFill>
          </w14:textFill>
        </w:rPr>
        <w:t>、咨询联系人及联系方式</w:t>
      </w:r>
    </w:p>
    <w:p w14:paraId="18690B96">
      <w:pPr>
        <w:wordWrap w:val="0"/>
        <w:spacing w:line="560" w:lineRule="exact"/>
        <w:ind w:firstLine="645"/>
        <w:rPr>
          <w:rFonts w:eastAsia="仿宋_GB2312"/>
          <w:sz w:val="32"/>
          <w:szCs w:val="32"/>
        </w:rPr>
      </w:pPr>
      <w:r>
        <w:rPr>
          <w:rFonts w:hint="eastAsia" w:eastAsia="仿宋_GB2312"/>
          <w:sz w:val="32"/>
          <w:szCs w:val="32"/>
        </w:rPr>
        <w:t>梁</w:t>
      </w:r>
      <w:r>
        <w:rPr>
          <w:rFonts w:eastAsia="仿宋_GB2312"/>
          <w:sz w:val="32"/>
          <w:szCs w:val="32"/>
        </w:rPr>
        <w:t>老师  联系电话：028-62739</w:t>
      </w:r>
      <w:r>
        <w:rPr>
          <w:rFonts w:hint="eastAsia" w:eastAsia="仿宋_GB2312"/>
          <w:sz w:val="32"/>
          <w:szCs w:val="32"/>
        </w:rPr>
        <w:t>339</w:t>
      </w:r>
    </w:p>
    <w:p w14:paraId="051F3EF5">
      <w:pPr>
        <w:spacing w:before="156" w:beforeLines="50" w:after="156" w:afterLines="50" w:line="540" w:lineRule="exact"/>
        <w:ind w:firstLine="646"/>
        <w:rPr>
          <w:rFonts w:eastAsia="黑体"/>
          <w:b/>
          <w:color w:val="000000" w:themeColor="text1"/>
          <w:sz w:val="32"/>
          <w:szCs w:val="32"/>
          <w14:textFill>
            <w14:solidFill>
              <w14:schemeClr w14:val="tx1"/>
            </w14:solidFill>
          </w14:textFill>
        </w:rPr>
      </w:pPr>
      <w:r>
        <w:rPr>
          <w:rFonts w:hint="eastAsia" w:eastAsia="黑体"/>
          <w:b/>
          <w:color w:val="000000" w:themeColor="text1"/>
          <w:sz w:val="32"/>
          <w:szCs w:val="32"/>
          <w14:textFill>
            <w14:solidFill>
              <w14:schemeClr w14:val="tx1"/>
            </w14:solidFill>
          </w14:textFill>
        </w:rPr>
        <w:t>十一</w:t>
      </w:r>
      <w:r>
        <w:rPr>
          <w:rFonts w:eastAsia="黑体"/>
          <w:b/>
          <w:color w:val="000000" w:themeColor="text1"/>
          <w:sz w:val="32"/>
          <w:szCs w:val="32"/>
          <w14:textFill>
            <w14:solidFill>
              <w14:schemeClr w14:val="tx1"/>
            </w14:solidFill>
          </w14:textFill>
        </w:rPr>
        <w:t>、考生申诉与联系方式</w:t>
      </w:r>
    </w:p>
    <w:p w14:paraId="56363012">
      <w:pPr>
        <w:spacing w:line="540" w:lineRule="exact"/>
        <w:ind w:firstLine="645"/>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基础医学院申诉和投诉电话：028-6273</w:t>
      </w:r>
      <w:r>
        <w:rPr>
          <w:rFonts w:eastAsia="仿宋_GB2312"/>
          <w:color w:val="000000" w:themeColor="text1"/>
          <w:sz w:val="32"/>
          <w:szCs w:val="32"/>
          <w14:textFill>
            <w14:solidFill>
              <w14:schemeClr w14:val="tx1"/>
            </w14:solidFill>
          </w14:textFill>
        </w:rPr>
        <w:t>9290</w:t>
      </w:r>
    </w:p>
    <w:p w14:paraId="6748B257">
      <w:pPr>
        <w:spacing w:line="540" w:lineRule="exact"/>
        <w:ind w:firstLine="645"/>
        <w:rPr>
          <w:rFonts w:hint="default" w:eastAsia="仿宋_GB2312"/>
          <w:color w:val="000000" w:themeColor="text1"/>
          <w:sz w:val="32"/>
          <w:szCs w:val="32"/>
          <w:lang w:val="en-US" w:eastAsia="zh-CN"/>
          <w14:textFill>
            <w14:solidFill>
              <w14:schemeClr w14:val="tx1"/>
            </w14:solidFill>
          </w14:textFill>
        </w:rPr>
      </w:pPr>
      <w:r>
        <w:rPr>
          <w:rFonts w:hint="eastAsia" w:eastAsia="仿宋_GB2312"/>
          <w:color w:val="000000" w:themeColor="text1"/>
          <w:sz w:val="32"/>
          <w:szCs w:val="32"/>
          <w14:textFill>
            <w14:solidFill>
              <w14:schemeClr w14:val="tx1"/>
            </w14:solidFill>
          </w14:textFill>
        </w:rPr>
        <w:t>研究生院申诉和投诉电话：028-627391</w:t>
      </w:r>
      <w:r>
        <w:rPr>
          <w:rFonts w:hint="eastAsia" w:eastAsia="仿宋_GB2312"/>
          <w:color w:val="000000" w:themeColor="text1"/>
          <w:sz w:val="32"/>
          <w:szCs w:val="32"/>
          <w:lang w:val="en-US" w:eastAsia="zh-CN"/>
          <w14:textFill>
            <w14:solidFill>
              <w14:schemeClr w14:val="tx1"/>
            </w14:solidFill>
          </w14:textFill>
        </w:rPr>
        <w:t>83</w:t>
      </w:r>
    </w:p>
    <w:p w14:paraId="2C69DDDB">
      <w:pPr>
        <w:spacing w:line="540" w:lineRule="exact"/>
        <w:ind w:firstLine="645"/>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校纪委办公室申诉和投诉电话：028-62739076</w:t>
      </w:r>
    </w:p>
    <w:p w14:paraId="25BCCDC6">
      <w:pPr>
        <w:spacing w:line="540" w:lineRule="exact"/>
        <w:ind w:firstLine="645"/>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w:t>
      </w:r>
    </w:p>
    <w:p w14:paraId="6904F653">
      <w:pPr>
        <w:spacing w:line="540" w:lineRule="exact"/>
        <w:ind w:firstLine="645"/>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成都医学院基础医学院</w:t>
      </w:r>
    </w:p>
    <w:p w14:paraId="639D41CF">
      <w:pPr>
        <w:spacing w:line="540" w:lineRule="exact"/>
        <w:ind w:firstLine="645"/>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 xml:space="preserve">                            202</w:t>
      </w:r>
      <w:r>
        <w:rPr>
          <w:rFonts w:hint="eastAsia" w:eastAsia="仿宋_GB2312"/>
          <w:color w:val="000000" w:themeColor="text1"/>
          <w:sz w:val="32"/>
          <w:szCs w:val="32"/>
          <w:lang w:val="en-US" w:eastAsia="zh-CN"/>
          <w14:textFill>
            <w14:solidFill>
              <w14:schemeClr w14:val="tx1"/>
            </w14:solidFill>
          </w14:textFill>
        </w:rPr>
        <w:t>5</w:t>
      </w:r>
      <w:r>
        <w:rPr>
          <w:rFonts w:hint="eastAsia" w:eastAsia="仿宋_GB2312"/>
          <w:color w:val="000000" w:themeColor="text1"/>
          <w:sz w:val="32"/>
          <w:szCs w:val="32"/>
          <w14:textFill>
            <w14:solidFill>
              <w14:schemeClr w14:val="tx1"/>
            </w14:solidFill>
          </w14:textFill>
        </w:rPr>
        <w:t>年3月</w:t>
      </w:r>
      <w:r>
        <w:rPr>
          <w:rFonts w:hint="eastAsia" w:eastAsia="仿宋_GB2312"/>
          <w:color w:val="000000" w:themeColor="text1"/>
          <w:sz w:val="32"/>
          <w:szCs w:val="32"/>
          <w:lang w:val="en-US" w:eastAsia="zh-CN"/>
          <w14:textFill>
            <w14:solidFill>
              <w14:schemeClr w14:val="tx1"/>
            </w14:solidFill>
          </w14:textFill>
        </w:rPr>
        <w:t>26</w:t>
      </w:r>
      <w:r>
        <w:rPr>
          <w:rFonts w:hint="eastAsia" w:eastAsia="仿宋_GB2312"/>
          <w:color w:val="000000" w:themeColor="text1"/>
          <w:sz w:val="32"/>
          <w:szCs w:val="32"/>
          <w14:textFill>
            <w14:solidFill>
              <w14:schemeClr w14:val="tx1"/>
            </w14:solidFill>
          </w14:textFill>
        </w:rPr>
        <w:t>日</w:t>
      </w:r>
    </w:p>
    <w:sectPr>
      <w:pgSz w:w="11906" w:h="16838"/>
      <w:pgMar w:top="1440" w:right="17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0ZWMzNmFjZGVhMGNlMjUxMDZlYzFiZjM0MmY1ZGYifQ=="/>
  </w:docVars>
  <w:rsids>
    <w:rsidRoot w:val="00B71DE9"/>
    <w:rsid w:val="00004D51"/>
    <w:rsid w:val="00007C81"/>
    <w:rsid w:val="0001284C"/>
    <w:rsid w:val="00014B5C"/>
    <w:rsid w:val="00015029"/>
    <w:rsid w:val="00015832"/>
    <w:rsid w:val="000225F2"/>
    <w:rsid w:val="000228EA"/>
    <w:rsid w:val="00024FB9"/>
    <w:rsid w:val="0003783D"/>
    <w:rsid w:val="00040EB0"/>
    <w:rsid w:val="0004275A"/>
    <w:rsid w:val="00045E0C"/>
    <w:rsid w:val="00051481"/>
    <w:rsid w:val="000559BE"/>
    <w:rsid w:val="000561A2"/>
    <w:rsid w:val="000616E3"/>
    <w:rsid w:val="00062BEC"/>
    <w:rsid w:val="00066BA9"/>
    <w:rsid w:val="00073796"/>
    <w:rsid w:val="0007535D"/>
    <w:rsid w:val="000825B8"/>
    <w:rsid w:val="000910C7"/>
    <w:rsid w:val="00092680"/>
    <w:rsid w:val="000978B1"/>
    <w:rsid w:val="000A3A46"/>
    <w:rsid w:val="000A762E"/>
    <w:rsid w:val="000B2856"/>
    <w:rsid w:val="000B3553"/>
    <w:rsid w:val="000B607C"/>
    <w:rsid w:val="000C21C2"/>
    <w:rsid w:val="000C2626"/>
    <w:rsid w:val="000C4275"/>
    <w:rsid w:val="000C77C4"/>
    <w:rsid w:val="000D19B0"/>
    <w:rsid w:val="000D1C81"/>
    <w:rsid w:val="000E16FF"/>
    <w:rsid w:val="000E1FFF"/>
    <w:rsid w:val="000E35B6"/>
    <w:rsid w:val="000E4CDE"/>
    <w:rsid w:val="000E56F0"/>
    <w:rsid w:val="000E7C9A"/>
    <w:rsid w:val="000F12C8"/>
    <w:rsid w:val="000F2584"/>
    <w:rsid w:val="000F437B"/>
    <w:rsid w:val="000F6975"/>
    <w:rsid w:val="000F6DDC"/>
    <w:rsid w:val="001032A0"/>
    <w:rsid w:val="00104D5C"/>
    <w:rsid w:val="0011597E"/>
    <w:rsid w:val="00115BEA"/>
    <w:rsid w:val="00121FA7"/>
    <w:rsid w:val="0013113C"/>
    <w:rsid w:val="001312F9"/>
    <w:rsid w:val="001428C0"/>
    <w:rsid w:val="00142D4E"/>
    <w:rsid w:val="00143424"/>
    <w:rsid w:val="00143C5F"/>
    <w:rsid w:val="00143D2F"/>
    <w:rsid w:val="00146570"/>
    <w:rsid w:val="0015186C"/>
    <w:rsid w:val="0015369E"/>
    <w:rsid w:val="00161438"/>
    <w:rsid w:val="00163FAE"/>
    <w:rsid w:val="00167BF8"/>
    <w:rsid w:val="00172689"/>
    <w:rsid w:val="0017547B"/>
    <w:rsid w:val="001765D9"/>
    <w:rsid w:val="001775A8"/>
    <w:rsid w:val="0018268A"/>
    <w:rsid w:val="00183C69"/>
    <w:rsid w:val="0019120E"/>
    <w:rsid w:val="00192504"/>
    <w:rsid w:val="001A3063"/>
    <w:rsid w:val="001A4E82"/>
    <w:rsid w:val="001B51C9"/>
    <w:rsid w:val="001C0490"/>
    <w:rsid w:val="001C164B"/>
    <w:rsid w:val="001C7AA9"/>
    <w:rsid w:val="001D11DB"/>
    <w:rsid w:val="001E3212"/>
    <w:rsid w:val="001E4D2C"/>
    <w:rsid w:val="001E522F"/>
    <w:rsid w:val="001E690B"/>
    <w:rsid w:val="001E74BD"/>
    <w:rsid w:val="001F348C"/>
    <w:rsid w:val="001F3A3B"/>
    <w:rsid w:val="002014E6"/>
    <w:rsid w:val="00201C9B"/>
    <w:rsid w:val="00204CA3"/>
    <w:rsid w:val="00207B4E"/>
    <w:rsid w:val="00210F2A"/>
    <w:rsid w:val="00220DA4"/>
    <w:rsid w:val="0022305C"/>
    <w:rsid w:val="0022524D"/>
    <w:rsid w:val="002262F5"/>
    <w:rsid w:val="0022778A"/>
    <w:rsid w:val="002279EA"/>
    <w:rsid w:val="00236D32"/>
    <w:rsid w:val="00237C2C"/>
    <w:rsid w:val="00244310"/>
    <w:rsid w:val="002461DD"/>
    <w:rsid w:val="00250B4B"/>
    <w:rsid w:val="00253176"/>
    <w:rsid w:val="00253531"/>
    <w:rsid w:val="00261EEC"/>
    <w:rsid w:val="002626F8"/>
    <w:rsid w:val="00274044"/>
    <w:rsid w:val="002742B2"/>
    <w:rsid w:val="00274F21"/>
    <w:rsid w:val="00277225"/>
    <w:rsid w:val="002806D5"/>
    <w:rsid w:val="002816F1"/>
    <w:rsid w:val="002828B3"/>
    <w:rsid w:val="00282AA9"/>
    <w:rsid w:val="00287DA4"/>
    <w:rsid w:val="00292B6F"/>
    <w:rsid w:val="00292D1F"/>
    <w:rsid w:val="00295BAF"/>
    <w:rsid w:val="00295E96"/>
    <w:rsid w:val="0029747F"/>
    <w:rsid w:val="002A13F1"/>
    <w:rsid w:val="002A3364"/>
    <w:rsid w:val="002B4A8A"/>
    <w:rsid w:val="002C076C"/>
    <w:rsid w:val="002C44FA"/>
    <w:rsid w:val="002D0F13"/>
    <w:rsid w:val="002E6B65"/>
    <w:rsid w:val="002F0CAB"/>
    <w:rsid w:val="002F1226"/>
    <w:rsid w:val="002F7055"/>
    <w:rsid w:val="002F75A0"/>
    <w:rsid w:val="003034DB"/>
    <w:rsid w:val="00311C81"/>
    <w:rsid w:val="00311DE8"/>
    <w:rsid w:val="0031335F"/>
    <w:rsid w:val="00313943"/>
    <w:rsid w:val="0032196D"/>
    <w:rsid w:val="00321CF6"/>
    <w:rsid w:val="0033222B"/>
    <w:rsid w:val="00334491"/>
    <w:rsid w:val="00341595"/>
    <w:rsid w:val="00347415"/>
    <w:rsid w:val="00350956"/>
    <w:rsid w:val="00351753"/>
    <w:rsid w:val="003540F7"/>
    <w:rsid w:val="003546CD"/>
    <w:rsid w:val="00356991"/>
    <w:rsid w:val="00356E64"/>
    <w:rsid w:val="00361A7F"/>
    <w:rsid w:val="003653B2"/>
    <w:rsid w:val="00365DD5"/>
    <w:rsid w:val="00367175"/>
    <w:rsid w:val="00372E6B"/>
    <w:rsid w:val="00373D39"/>
    <w:rsid w:val="003741AF"/>
    <w:rsid w:val="00374393"/>
    <w:rsid w:val="00376694"/>
    <w:rsid w:val="00381963"/>
    <w:rsid w:val="003868D1"/>
    <w:rsid w:val="003879D1"/>
    <w:rsid w:val="003A171F"/>
    <w:rsid w:val="003A6D5F"/>
    <w:rsid w:val="003B758C"/>
    <w:rsid w:val="003B7B4D"/>
    <w:rsid w:val="003C2D18"/>
    <w:rsid w:val="003C4FF9"/>
    <w:rsid w:val="003D12CD"/>
    <w:rsid w:val="003D520A"/>
    <w:rsid w:val="003D56CA"/>
    <w:rsid w:val="003D639B"/>
    <w:rsid w:val="003D7B96"/>
    <w:rsid w:val="003E1018"/>
    <w:rsid w:val="003E2268"/>
    <w:rsid w:val="003E29B1"/>
    <w:rsid w:val="003E5EC5"/>
    <w:rsid w:val="003E6726"/>
    <w:rsid w:val="003E7007"/>
    <w:rsid w:val="003F428C"/>
    <w:rsid w:val="003F55BB"/>
    <w:rsid w:val="003F6D84"/>
    <w:rsid w:val="00400C6A"/>
    <w:rsid w:val="00410FC1"/>
    <w:rsid w:val="00411478"/>
    <w:rsid w:val="00411EC4"/>
    <w:rsid w:val="00413E82"/>
    <w:rsid w:val="0041460F"/>
    <w:rsid w:val="00416877"/>
    <w:rsid w:val="00416B20"/>
    <w:rsid w:val="00416BC4"/>
    <w:rsid w:val="00417B7A"/>
    <w:rsid w:val="00421FC7"/>
    <w:rsid w:val="00422CBA"/>
    <w:rsid w:val="0042723F"/>
    <w:rsid w:val="0043002C"/>
    <w:rsid w:val="00430770"/>
    <w:rsid w:val="004316D2"/>
    <w:rsid w:val="00432240"/>
    <w:rsid w:val="00450E20"/>
    <w:rsid w:val="0046529B"/>
    <w:rsid w:val="004674D7"/>
    <w:rsid w:val="004725E8"/>
    <w:rsid w:val="0047375B"/>
    <w:rsid w:val="00475411"/>
    <w:rsid w:val="00481AED"/>
    <w:rsid w:val="004842EA"/>
    <w:rsid w:val="00490483"/>
    <w:rsid w:val="00490591"/>
    <w:rsid w:val="00491D53"/>
    <w:rsid w:val="00493A26"/>
    <w:rsid w:val="00497432"/>
    <w:rsid w:val="004977DA"/>
    <w:rsid w:val="004A02F2"/>
    <w:rsid w:val="004C0ECD"/>
    <w:rsid w:val="004C167A"/>
    <w:rsid w:val="004C2275"/>
    <w:rsid w:val="004C6BEC"/>
    <w:rsid w:val="004C7E6E"/>
    <w:rsid w:val="004D2B62"/>
    <w:rsid w:val="004D59C9"/>
    <w:rsid w:val="004D651A"/>
    <w:rsid w:val="004E2DDE"/>
    <w:rsid w:val="004F12E2"/>
    <w:rsid w:val="004F4435"/>
    <w:rsid w:val="004F597F"/>
    <w:rsid w:val="005022F2"/>
    <w:rsid w:val="00502755"/>
    <w:rsid w:val="00505FFB"/>
    <w:rsid w:val="0050610B"/>
    <w:rsid w:val="00506AA4"/>
    <w:rsid w:val="00513D12"/>
    <w:rsid w:val="00513E87"/>
    <w:rsid w:val="00517091"/>
    <w:rsid w:val="005171F0"/>
    <w:rsid w:val="0052412C"/>
    <w:rsid w:val="00524A82"/>
    <w:rsid w:val="00530371"/>
    <w:rsid w:val="0053452C"/>
    <w:rsid w:val="00535668"/>
    <w:rsid w:val="00536358"/>
    <w:rsid w:val="005403D2"/>
    <w:rsid w:val="00543A2A"/>
    <w:rsid w:val="00552299"/>
    <w:rsid w:val="005525BE"/>
    <w:rsid w:val="00554407"/>
    <w:rsid w:val="00564D9E"/>
    <w:rsid w:val="00575B72"/>
    <w:rsid w:val="00581FF8"/>
    <w:rsid w:val="00586D2E"/>
    <w:rsid w:val="00593490"/>
    <w:rsid w:val="00595C02"/>
    <w:rsid w:val="00596786"/>
    <w:rsid w:val="00596B50"/>
    <w:rsid w:val="005973E3"/>
    <w:rsid w:val="005975D8"/>
    <w:rsid w:val="005A0FD7"/>
    <w:rsid w:val="005A330E"/>
    <w:rsid w:val="005A6BB0"/>
    <w:rsid w:val="005B7908"/>
    <w:rsid w:val="005C1532"/>
    <w:rsid w:val="005C1B8F"/>
    <w:rsid w:val="005C3757"/>
    <w:rsid w:val="005D034B"/>
    <w:rsid w:val="005D37F9"/>
    <w:rsid w:val="005D68C9"/>
    <w:rsid w:val="005D6A31"/>
    <w:rsid w:val="005D6DE6"/>
    <w:rsid w:val="005E0C10"/>
    <w:rsid w:val="005E32C2"/>
    <w:rsid w:val="005E549A"/>
    <w:rsid w:val="005F03F0"/>
    <w:rsid w:val="005F3FA8"/>
    <w:rsid w:val="005F7BFB"/>
    <w:rsid w:val="00600154"/>
    <w:rsid w:val="0062011E"/>
    <w:rsid w:val="00620490"/>
    <w:rsid w:val="00622F30"/>
    <w:rsid w:val="0062350C"/>
    <w:rsid w:val="00624816"/>
    <w:rsid w:val="00630053"/>
    <w:rsid w:val="006424A6"/>
    <w:rsid w:val="00645B2B"/>
    <w:rsid w:val="00647BF9"/>
    <w:rsid w:val="00650CE5"/>
    <w:rsid w:val="00650D96"/>
    <w:rsid w:val="006645EF"/>
    <w:rsid w:val="006666EC"/>
    <w:rsid w:val="006679C5"/>
    <w:rsid w:val="00672C6D"/>
    <w:rsid w:val="00682C36"/>
    <w:rsid w:val="00685976"/>
    <w:rsid w:val="00686C9E"/>
    <w:rsid w:val="00692035"/>
    <w:rsid w:val="006940C0"/>
    <w:rsid w:val="00694FCF"/>
    <w:rsid w:val="006952FF"/>
    <w:rsid w:val="006B3148"/>
    <w:rsid w:val="006B403A"/>
    <w:rsid w:val="006B543B"/>
    <w:rsid w:val="006B5BE2"/>
    <w:rsid w:val="006C0D42"/>
    <w:rsid w:val="006C306A"/>
    <w:rsid w:val="006D0A02"/>
    <w:rsid w:val="006E1175"/>
    <w:rsid w:val="006E231E"/>
    <w:rsid w:val="006E45D3"/>
    <w:rsid w:val="006E66CF"/>
    <w:rsid w:val="006E7191"/>
    <w:rsid w:val="006F41BD"/>
    <w:rsid w:val="006F64D6"/>
    <w:rsid w:val="00705072"/>
    <w:rsid w:val="0071618F"/>
    <w:rsid w:val="0071691E"/>
    <w:rsid w:val="00724770"/>
    <w:rsid w:val="00725503"/>
    <w:rsid w:val="00732889"/>
    <w:rsid w:val="007335AC"/>
    <w:rsid w:val="00734834"/>
    <w:rsid w:val="00735979"/>
    <w:rsid w:val="00736517"/>
    <w:rsid w:val="00747AED"/>
    <w:rsid w:val="007514F8"/>
    <w:rsid w:val="00757B06"/>
    <w:rsid w:val="00761D13"/>
    <w:rsid w:val="00764C6B"/>
    <w:rsid w:val="007850D0"/>
    <w:rsid w:val="00790FB7"/>
    <w:rsid w:val="00792870"/>
    <w:rsid w:val="0079344B"/>
    <w:rsid w:val="00797D79"/>
    <w:rsid w:val="007A2BB1"/>
    <w:rsid w:val="007A6F3F"/>
    <w:rsid w:val="007A7172"/>
    <w:rsid w:val="007B4348"/>
    <w:rsid w:val="007B6D60"/>
    <w:rsid w:val="007C1A82"/>
    <w:rsid w:val="007C7952"/>
    <w:rsid w:val="007D5E04"/>
    <w:rsid w:val="007D782C"/>
    <w:rsid w:val="007E1085"/>
    <w:rsid w:val="007F1FBD"/>
    <w:rsid w:val="007F2486"/>
    <w:rsid w:val="007F2E21"/>
    <w:rsid w:val="0080245B"/>
    <w:rsid w:val="008027F1"/>
    <w:rsid w:val="00804AA6"/>
    <w:rsid w:val="00804ED6"/>
    <w:rsid w:val="008074B4"/>
    <w:rsid w:val="00812F20"/>
    <w:rsid w:val="00813BE6"/>
    <w:rsid w:val="00817B43"/>
    <w:rsid w:val="008215D8"/>
    <w:rsid w:val="00822E6B"/>
    <w:rsid w:val="00826B93"/>
    <w:rsid w:val="00831112"/>
    <w:rsid w:val="008330FA"/>
    <w:rsid w:val="008422E2"/>
    <w:rsid w:val="00847946"/>
    <w:rsid w:val="008543A0"/>
    <w:rsid w:val="0085690F"/>
    <w:rsid w:val="00862054"/>
    <w:rsid w:val="00870414"/>
    <w:rsid w:val="00872EAF"/>
    <w:rsid w:val="00872F21"/>
    <w:rsid w:val="008744C8"/>
    <w:rsid w:val="008757BD"/>
    <w:rsid w:val="00876248"/>
    <w:rsid w:val="00876D3D"/>
    <w:rsid w:val="00880916"/>
    <w:rsid w:val="00883B78"/>
    <w:rsid w:val="0088759D"/>
    <w:rsid w:val="00890801"/>
    <w:rsid w:val="00894864"/>
    <w:rsid w:val="008B0B2F"/>
    <w:rsid w:val="008B5589"/>
    <w:rsid w:val="008C3BDE"/>
    <w:rsid w:val="008C5DF2"/>
    <w:rsid w:val="008C6F89"/>
    <w:rsid w:val="008D1F53"/>
    <w:rsid w:val="008D2FBC"/>
    <w:rsid w:val="008D5C46"/>
    <w:rsid w:val="008E1DD8"/>
    <w:rsid w:val="008F4184"/>
    <w:rsid w:val="008F4C70"/>
    <w:rsid w:val="00901ABD"/>
    <w:rsid w:val="00904210"/>
    <w:rsid w:val="00905919"/>
    <w:rsid w:val="009079B7"/>
    <w:rsid w:val="00912341"/>
    <w:rsid w:val="009145F4"/>
    <w:rsid w:val="009163DA"/>
    <w:rsid w:val="009350AA"/>
    <w:rsid w:val="00935633"/>
    <w:rsid w:val="00943C19"/>
    <w:rsid w:val="00945C77"/>
    <w:rsid w:val="00951072"/>
    <w:rsid w:val="0095589A"/>
    <w:rsid w:val="00961482"/>
    <w:rsid w:val="0096341A"/>
    <w:rsid w:val="00963E34"/>
    <w:rsid w:val="00973DD6"/>
    <w:rsid w:val="00974756"/>
    <w:rsid w:val="00974F0F"/>
    <w:rsid w:val="009804C0"/>
    <w:rsid w:val="00981DA0"/>
    <w:rsid w:val="00982DAB"/>
    <w:rsid w:val="009921BF"/>
    <w:rsid w:val="009946EE"/>
    <w:rsid w:val="00996359"/>
    <w:rsid w:val="00996679"/>
    <w:rsid w:val="00997F69"/>
    <w:rsid w:val="009A1C47"/>
    <w:rsid w:val="009A2C34"/>
    <w:rsid w:val="009A6B30"/>
    <w:rsid w:val="009B0453"/>
    <w:rsid w:val="009B7896"/>
    <w:rsid w:val="009B7B11"/>
    <w:rsid w:val="009C06D9"/>
    <w:rsid w:val="009C54C7"/>
    <w:rsid w:val="009C56AD"/>
    <w:rsid w:val="009C7685"/>
    <w:rsid w:val="009D27CE"/>
    <w:rsid w:val="009D552F"/>
    <w:rsid w:val="009E2F6E"/>
    <w:rsid w:val="009E52D5"/>
    <w:rsid w:val="009F02B5"/>
    <w:rsid w:val="009F4E88"/>
    <w:rsid w:val="009F6D00"/>
    <w:rsid w:val="009F7230"/>
    <w:rsid w:val="00A003F5"/>
    <w:rsid w:val="00A013EE"/>
    <w:rsid w:val="00A01C5B"/>
    <w:rsid w:val="00A02874"/>
    <w:rsid w:val="00A05D78"/>
    <w:rsid w:val="00A113E6"/>
    <w:rsid w:val="00A12885"/>
    <w:rsid w:val="00A17561"/>
    <w:rsid w:val="00A2146F"/>
    <w:rsid w:val="00A22EB5"/>
    <w:rsid w:val="00A23805"/>
    <w:rsid w:val="00A23C40"/>
    <w:rsid w:val="00A31313"/>
    <w:rsid w:val="00A31E8E"/>
    <w:rsid w:val="00A33E15"/>
    <w:rsid w:val="00A3518E"/>
    <w:rsid w:val="00A42156"/>
    <w:rsid w:val="00A4556B"/>
    <w:rsid w:val="00A458F0"/>
    <w:rsid w:val="00A4731C"/>
    <w:rsid w:val="00A61EDE"/>
    <w:rsid w:val="00A64D4B"/>
    <w:rsid w:val="00A64D60"/>
    <w:rsid w:val="00A74D46"/>
    <w:rsid w:val="00A80049"/>
    <w:rsid w:val="00A80AE5"/>
    <w:rsid w:val="00A8165B"/>
    <w:rsid w:val="00A867AC"/>
    <w:rsid w:val="00A9488C"/>
    <w:rsid w:val="00A972A5"/>
    <w:rsid w:val="00AA21CB"/>
    <w:rsid w:val="00AA4B09"/>
    <w:rsid w:val="00AA6A01"/>
    <w:rsid w:val="00AB2592"/>
    <w:rsid w:val="00AB61AF"/>
    <w:rsid w:val="00AD2C05"/>
    <w:rsid w:val="00AE27ED"/>
    <w:rsid w:val="00AF172F"/>
    <w:rsid w:val="00AF592B"/>
    <w:rsid w:val="00AF7041"/>
    <w:rsid w:val="00AF77DF"/>
    <w:rsid w:val="00B022DA"/>
    <w:rsid w:val="00B02760"/>
    <w:rsid w:val="00B04C95"/>
    <w:rsid w:val="00B04E12"/>
    <w:rsid w:val="00B11488"/>
    <w:rsid w:val="00B1178F"/>
    <w:rsid w:val="00B134DD"/>
    <w:rsid w:val="00B20118"/>
    <w:rsid w:val="00B2246C"/>
    <w:rsid w:val="00B22662"/>
    <w:rsid w:val="00B22E28"/>
    <w:rsid w:val="00B24C01"/>
    <w:rsid w:val="00B2523D"/>
    <w:rsid w:val="00B30518"/>
    <w:rsid w:val="00B33A38"/>
    <w:rsid w:val="00B34B5C"/>
    <w:rsid w:val="00B432F5"/>
    <w:rsid w:val="00B451B3"/>
    <w:rsid w:val="00B4536D"/>
    <w:rsid w:val="00B5327A"/>
    <w:rsid w:val="00B5656E"/>
    <w:rsid w:val="00B66C9D"/>
    <w:rsid w:val="00B67711"/>
    <w:rsid w:val="00B71DE9"/>
    <w:rsid w:val="00B71E6D"/>
    <w:rsid w:val="00B82B72"/>
    <w:rsid w:val="00B8305A"/>
    <w:rsid w:val="00B86AB9"/>
    <w:rsid w:val="00B9385B"/>
    <w:rsid w:val="00BA34F6"/>
    <w:rsid w:val="00BA57DE"/>
    <w:rsid w:val="00BB18E8"/>
    <w:rsid w:val="00BB781B"/>
    <w:rsid w:val="00BC14B3"/>
    <w:rsid w:val="00BC7B5C"/>
    <w:rsid w:val="00BD20D1"/>
    <w:rsid w:val="00BD3A2D"/>
    <w:rsid w:val="00BD401C"/>
    <w:rsid w:val="00BE5261"/>
    <w:rsid w:val="00BF26C7"/>
    <w:rsid w:val="00BF7C96"/>
    <w:rsid w:val="00C015BA"/>
    <w:rsid w:val="00C03C11"/>
    <w:rsid w:val="00C107F0"/>
    <w:rsid w:val="00C20418"/>
    <w:rsid w:val="00C25AD0"/>
    <w:rsid w:val="00C30943"/>
    <w:rsid w:val="00C337AA"/>
    <w:rsid w:val="00C356BC"/>
    <w:rsid w:val="00C40DFD"/>
    <w:rsid w:val="00C41C21"/>
    <w:rsid w:val="00C43136"/>
    <w:rsid w:val="00C4571A"/>
    <w:rsid w:val="00C47732"/>
    <w:rsid w:val="00C55236"/>
    <w:rsid w:val="00C6106E"/>
    <w:rsid w:val="00C630C8"/>
    <w:rsid w:val="00C638CB"/>
    <w:rsid w:val="00C63CD3"/>
    <w:rsid w:val="00C66A2F"/>
    <w:rsid w:val="00C705C9"/>
    <w:rsid w:val="00C7205E"/>
    <w:rsid w:val="00C72983"/>
    <w:rsid w:val="00C730DF"/>
    <w:rsid w:val="00C844F0"/>
    <w:rsid w:val="00C860CC"/>
    <w:rsid w:val="00C86139"/>
    <w:rsid w:val="00C917D5"/>
    <w:rsid w:val="00C93EEF"/>
    <w:rsid w:val="00C93FB4"/>
    <w:rsid w:val="00C94A6D"/>
    <w:rsid w:val="00C95289"/>
    <w:rsid w:val="00CA1FB2"/>
    <w:rsid w:val="00CA6196"/>
    <w:rsid w:val="00CA7117"/>
    <w:rsid w:val="00CB1013"/>
    <w:rsid w:val="00CC17BC"/>
    <w:rsid w:val="00CC4757"/>
    <w:rsid w:val="00CC60D1"/>
    <w:rsid w:val="00CD0DC7"/>
    <w:rsid w:val="00CD124D"/>
    <w:rsid w:val="00CD24BF"/>
    <w:rsid w:val="00CD5C1F"/>
    <w:rsid w:val="00CE189D"/>
    <w:rsid w:val="00CE27CE"/>
    <w:rsid w:val="00CE2D5D"/>
    <w:rsid w:val="00CE4197"/>
    <w:rsid w:val="00CE4F83"/>
    <w:rsid w:val="00CF26EA"/>
    <w:rsid w:val="00D0014E"/>
    <w:rsid w:val="00D03CFB"/>
    <w:rsid w:val="00D049C8"/>
    <w:rsid w:val="00D07E24"/>
    <w:rsid w:val="00D13C6C"/>
    <w:rsid w:val="00D14855"/>
    <w:rsid w:val="00D17B48"/>
    <w:rsid w:val="00D23F4D"/>
    <w:rsid w:val="00D27951"/>
    <w:rsid w:val="00D33EC4"/>
    <w:rsid w:val="00D37A0B"/>
    <w:rsid w:val="00D4233D"/>
    <w:rsid w:val="00D44EB8"/>
    <w:rsid w:val="00D45155"/>
    <w:rsid w:val="00D61BE2"/>
    <w:rsid w:val="00D61EEC"/>
    <w:rsid w:val="00D63D44"/>
    <w:rsid w:val="00D66240"/>
    <w:rsid w:val="00D66D32"/>
    <w:rsid w:val="00D73B78"/>
    <w:rsid w:val="00D828A3"/>
    <w:rsid w:val="00D84513"/>
    <w:rsid w:val="00DA3E4C"/>
    <w:rsid w:val="00DB2E86"/>
    <w:rsid w:val="00DB4E72"/>
    <w:rsid w:val="00DC2657"/>
    <w:rsid w:val="00DC427E"/>
    <w:rsid w:val="00DD1A5A"/>
    <w:rsid w:val="00DD3BA4"/>
    <w:rsid w:val="00DE0D5F"/>
    <w:rsid w:val="00DE13BB"/>
    <w:rsid w:val="00DE1BC7"/>
    <w:rsid w:val="00DE37A0"/>
    <w:rsid w:val="00DE3D35"/>
    <w:rsid w:val="00DE61BA"/>
    <w:rsid w:val="00DF45F6"/>
    <w:rsid w:val="00DF4A4A"/>
    <w:rsid w:val="00DF4D99"/>
    <w:rsid w:val="00E010B2"/>
    <w:rsid w:val="00E067A0"/>
    <w:rsid w:val="00E17A0C"/>
    <w:rsid w:val="00E20CAF"/>
    <w:rsid w:val="00E24C1B"/>
    <w:rsid w:val="00E25B8E"/>
    <w:rsid w:val="00E25F39"/>
    <w:rsid w:val="00E2628D"/>
    <w:rsid w:val="00E26782"/>
    <w:rsid w:val="00E30E59"/>
    <w:rsid w:val="00E32E0C"/>
    <w:rsid w:val="00E41851"/>
    <w:rsid w:val="00E46490"/>
    <w:rsid w:val="00E52699"/>
    <w:rsid w:val="00E52E22"/>
    <w:rsid w:val="00E53450"/>
    <w:rsid w:val="00E54E27"/>
    <w:rsid w:val="00E60B28"/>
    <w:rsid w:val="00E6286E"/>
    <w:rsid w:val="00E704AF"/>
    <w:rsid w:val="00E720AB"/>
    <w:rsid w:val="00E72BC5"/>
    <w:rsid w:val="00E76925"/>
    <w:rsid w:val="00E82B15"/>
    <w:rsid w:val="00E84283"/>
    <w:rsid w:val="00E92C06"/>
    <w:rsid w:val="00E96901"/>
    <w:rsid w:val="00E96C8C"/>
    <w:rsid w:val="00EB592E"/>
    <w:rsid w:val="00EB675D"/>
    <w:rsid w:val="00EC1B43"/>
    <w:rsid w:val="00EC2159"/>
    <w:rsid w:val="00EC2FC0"/>
    <w:rsid w:val="00ED5AC2"/>
    <w:rsid w:val="00EE5462"/>
    <w:rsid w:val="00EE6C17"/>
    <w:rsid w:val="00EF02FF"/>
    <w:rsid w:val="00EF0D62"/>
    <w:rsid w:val="00EF76D4"/>
    <w:rsid w:val="00F01E2E"/>
    <w:rsid w:val="00F043AE"/>
    <w:rsid w:val="00F04D84"/>
    <w:rsid w:val="00F061CD"/>
    <w:rsid w:val="00F06625"/>
    <w:rsid w:val="00F11DAA"/>
    <w:rsid w:val="00F2565A"/>
    <w:rsid w:val="00F2581C"/>
    <w:rsid w:val="00F30ECB"/>
    <w:rsid w:val="00F3162C"/>
    <w:rsid w:val="00F3219E"/>
    <w:rsid w:val="00F32827"/>
    <w:rsid w:val="00F41621"/>
    <w:rsid w:val="00F44D00"/>
    <w:rsid w:val="00F45262"/>
    <w:rsid w:val="00F47250"/>
    <w:rsid w:val="00F47F97"/>
    <w:rsid w:val="00F51C9A"/>
    <w:rsid w:val="00F54320"/>
    <w:rsid w:val="00F54CD2"/>
    <w:rsid w:val="00F54EFD"/>
    <w:rsid w:val="00F55FAE"/>
    <w:rsid w:val="00F62115"/>
    <w:rsid w:val="00F629AA"/>
    <w:rsid w:val="00F63D7B"/>
    <w:rsid w:val="00F71676"/>
    <w:rsid w:val="00F72504"/>
    <w:rsid w:val="00F809DE"/>
    <w:rsid w:val="00F8617E"/>
    <w:rsid w:val="00F8703A"/>
    <w:rsid w:val="00F94396"/>
    <w:rsid w:val="00F96089"/>
    <w:rsid w:val="00FB010F"/>
    <w:rsid w:val="00FB3AAA"/>
    <w:rsid w:val="00FB5055"/>
    <w:rsid w:val="00FC74C7"/>
    <w:rsid w:val="00FD02A7"/>
    <w:rsid w:val="00FD5079"/>
    <w:rsid w:val="00FE6FFA"/>
    <w:rsid w:val="00FE7FDD"/>
    <w:rsid w:val="00FF017B"/>
    <w:rsid w:val="00FF0B78"/>
    <w:rsid w:val="01DE5960"/>
    <w:rsid w:val="022614B2"/>
    <w:rsid w:val="028C42F9"/>
    <w:rsid w:val="02975B07"/>
    <w:rsid w:val="045A1585"/>
    <w:rsid w:val="04725366"/>
    <w:rsid w:val="04FC1C3D"/>
    <w:rsid w:val="050369A3"/>
    <w:rsid w:val="075122E5"/>
    <w:rsid w:val="07D46F0D"/>
    <w:rsid w:val="0984086D"/>
    <w:rsid w:val="09B5725D"/>
    <w:rsid w:val="0A047549"/>
    <w:rsid w:val="0A6D5DE1"/>
    <w:rsid w:val="0ADE7F6F"/>
    <w:rsid w:val="0C7309B3"/>
    <w:rsid w:val="0CE20FDB"/>
    <w:rsid w:val="112D0A50"/>
    <w:rsid w:val="11D50DBA"/>
    <w:rsid w:val="13575710"/>
    <w:rsid w:val="13A3042F"/>
    <w:rsid w:val="16E370F8"/>
    <w:rsid w:val="17F66137"/>
    <w:rsid w:val="183628BB"/>
    <w:rsid w:val="18EA316B"/>
    <w:rsid w:val="18FA5EC5"/>
    <w:rsid w:val="19D40D3C"/>
    <w:rsid w:val="1AB21084"/>
    <w:rsid w:val="1B882A24"/>
    <w:rsid w:val="1C194D43"/>
    <w:rsid w:val="1CFC0128"/>
    <w:rsid w:val="1D6F6D09"/>
    <w:rsid w:val="1EAD2034"/>
    <w:rsid w:val="1F895EC0"/>
    <w:rsid w:val="1FA572DC"/>
    <w:rsid w:val="223A333E"/>
    <w:rsid w:val="22DA514B"/>
    <w:rsid w:val="2357256B"/>
    <w:rsid w:val="24761512"/>
    <w:rsid w:val="262140CD"/>
    <w:rsid w:val="263000A3"/>
    <w:rsid w:val="26325A66"/>
    <w:rsid w:val="264B7D36"/>
    <w:rsid w:val="2750295A"/>
    <w:rsid w:val="282D1E34"/>
    <w:rsid w:val="29783D98"/>
    <w:rsid w:val="2B345339"/>
    <w:rsid w:val="2CC122C8"/>
    <w:rsid w:val="2EAF23A7"/>
    <w:rsid w:val="2F2F0880"/>
    <w:rsid w:val="3160515C"/>
    <w:rsid w:val="32C3487E"/>
    <w:rsid w:val="33090A05"/>
    <w:rsid w:val="38434B0A"/>
    <w:rsid w:val="38615EC5"/>
    <w:rsid w:val="3B3F5633"/>
    <w:rsid w:val="3C6B4877"/>
    <w:rsid w:val="3C997325"/>
    <w:rsid w:val="3CAB7EB1"/>
    <w:rsid w:val="3D094D24"/>
    <w:rsid w:val="3D1C1ED3"/>
    <w:rsid w:val="41962EF5"/>
    <w:rsid w:val="41E93B1B"/>
    <w:rsid w:val="428775B3"/>
    <w:rsid w:val="42B809FD"/>
    <w:rsid w:val="45415C45"/>
    <w:rsid w:val="458D57CB"/>
    <w:rsid w:val="47763BB5"/>
    <w:rsid w:val="4A014B5D"/>
    <w:rsid w:val="4B073B04"/>
    <w:rsid w:val="4C1A6731"/>
    <w:rsid w:val="4CBC1F50"/>
    <w:rsid w:val="4EC65B6A"/>
    <w:rsid w:val="502B1E8C"/>
    <w:rsid w:val="5363761D"/>
    <w:rsid w:val="53B12D91"/>
    <w:rsid w:val="54AF07B1"/>
    <w:rsid w:val="54E91CB1"/>
    <w:rsid w:val="55654D09"/>
    <w:rsid w:val="55A86D2E"/>
    <w:rsid w:val="55DC71C1"/>
    <w:rsid w:val="574849AB"/>
    <w:rsid w:val="575B721E"/>
    <w:rsid w:val="5F965474"/>
    <w:rsid w:val="608D6156"/>
    <w:rsid w:val="62105A5D"/>
    <w:rsid w:val="656F135C"/>
    <w:rsid w:val="65C50C0D"/>
    <w:rsid w:val="67232243"/>
    <w:rsid w:val="6A15280B"/>
    <w:rsid w:val="6A253BB3"/>
    <w:rsid w:val="6BC3529F"/>
    <w:rsid w:val="6C197B1D"/>
    <w:rsid w:val="6D446798"/>
    <w:rsid w:val="6EC73FD6"/>
    <w:rsid w:val="6F10393A"/>
    <w:rsid w:val="705363CD"/>
    <w:rsid w:val="705749F6"/>
    <w:rsid w:val="714C4ED9"/>
    <w:rsid w:val="746771FC"/>
    <w:rsid w:val="74C80846"/>
    <w:rsid w:val="74D05159"/>
    <w:rsid w:val="76015A25"/>
    <w:rsid w:val="77BD723E"/>
    <w:rsid w:val="7903753F"/>
    <w:rsid w:val="7A9869CC"/>
    <w:rsid w:val="7BCE2CB0"/>
    <w:rsid w:val="7C57306D"/>
    <w:rsid w:val="7C8D0C11"/>
    <w:rsid w:val="7DA52DC3"/>
    <w:rsid w:val="7DA66C2A"/>
    <w:rsid w:val="7E844D2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8"/>
    <w:autoRedefine/>
    <w:qFormat/>
    <w:uiPriority w:val="0"/>
    <w:pPr>
      <w:ind w:left="-158" w:leftChars="-50" w:firstLine="632" w:firstLineChars="200"/>
    </w:pPr>
    <w:rPr>
      <w:rFonts w:ascii="仿宋_GB2312" w:eastAsia="仿宋_GB2312"/>
      <w:sz w:val="32"/>
    </w:rPr>
  </w:style>
  <w:style w:type="paragraph" w:styleId="3">
    <w:name w:val="Date"/>
    <w:basedOn w:val="1"/>
    <w:next w:val="1"/>
    <w:link w:val="16"/>
    <w:autoRedefine/>
    <w:qFormat/>
    <w:uiPriority w:val="0"/>
    <w:pPr>
      <w:ind w:left="100" w:leftChars="2500"/>
    </w:pPr>
  </w:style>
  <w:style w:type="paragraph" w:styleId="4">
    <w:name w:val="Balloon Text"/>
    <w:basedOn w:val="1"/>
    <w:link w:val="17"/>
    <w:autoRedefine/>
    <w:qFormat/>
    <w:uiPriority w:val="0"/>
    <w:rPr>
      <w:sz w:val="18"/>
      <w:szCs w:val="18"/>
    </w:rPr>
  </w:style>
  <w:style w:type="paragraph" w:styleId="5">
    <w:name w:val="footer"/>
    <w:basedOn w:val="1"/>
    <w:link w:val="15"/>
    <w:autoRedefine/>
    <w:qFormat/>
    <w:uiPriority w:val="0"/>
    <w:pPr>
      <w:tabs>
        <w:tab w:val="center" w:pos="4153"/>
        <w:tab w:val="right" w:pos="8306"/>
      </w:tabs>
      <w:snapToGrid w:val="0"/>
      <w:jc w:val="left"/>
    </w:pPr>
    <w:rPr>
      <w:sz w:val="18"/>
      <w:szCs w:val="18"/>
    </w:rPr>
  </w:style>
  <w:style w:type="paragraph" w:styleId="6">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semiHidden/>
    <w:unhideWhenUsed/>
    <w:qFormat/>
    <w:uiPriority w:val="0"/>
    <w:pPr>
      <w:spacing w:beforeAutospacing="1" w:afterAutospacing="1"/>
      <w:jc w:val="left"/>
    </w:pPr>
    <w:rPr>
      <w:kern w:val="0"/>
      <w:sz w:val="24"/>
    </w:rPr>
  </w:style>
  <w:style w:type="table" w:styleId="9">
    <w:name w:val="Table Grid"/>
    <w:basedOn w:val="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autoRedefine/>
    <w:semiHidden/>
    <w:unhideWhenUsed/>
    <w:qFormat/>
    <w:uiPriority w:val="0"/>
    <w:rPr>
      <w:color w:val="800080" w:themeColor="followedHyperlink"/>
      <w:u w:val="single"/>
      <w14:textFill>
        <w14:solidFill>
          <w14:schemeClr w14:val="folHlink"/>
        </w14:solidFill>
      </w14:textFill>
    </w:rPr>
  </w:style>
  <w:style w:type="character" w:styleId="12">
    <w:name w:val="Hyperlink"/>
    <w:basedOn w:val="10"/>
    <w:autoRedefine/>
    <w:unhideWhenUsed/>
    <w:qFormat/>
    <w:uiPriority w:val="0"/>
    <w:rPr>
      <w:color w:val="0000FF" w:themeColor="hyperlink"/>
      <w:u w:val="single"/>
      <w14:textFill>
        <w14:solidFill>
          <w14:schemeClr w14:val="hlink"/>
        </w14:solidFill>
      </w14:textFill>
    </w:rPr>
  </w:style>
  <w:style w:type="paragraph" w:styleId="13">
    <w:name w:val="List Paragraph"/>
    <w:basedOn w:val="1"/>
    <w:autoRedefine/>
    <w:qFormat/>
    <w:uiPriority w:val="34"/>
    <w:pPr>
      <w:ind w:firstLine="420" w:firstLineChars="200"/>
    </w:pPr>
  </w:style>
  <w:style w:type="character" w:customStyle="1" w:styleId="14">
    <w:name w:val="页眉 字符"/>
    <w:basedOn w:val="10"/>
    <w:link w:val="6"/>
    <w:autoRedefine/>
    <w:qFormat/>
    <w:uiPriority w:val="0"/>
    <w:rPr>
      <w:kern w:val="2"/>
      <w:sz w:val="18"/>
      <w:szCs w:val="18"/>
    </w:rPr>
  </w:style>
  <w:style w:type="character" w:customStyle="1" w:styleId="15">
    <w:name w:val="页脚 字符"/>
    <w:basedOn w:val="10"/>
    <w:link w:val="5"/>
    <w:autoRedefine/>
    <w:qFormat/>
    <w:uiPriority w:val="0"/>
    <w:rPr>
      <w:kern w:val="2"/>
      <w:sz w:val="18"/>
      <w:szCs w:val="18"/>
    </w:rPr>
  </w:style>
  <w:style w:type="character" w:customStyle="1" w:styleId="16">
    <w:name w:val="日期 字符"/>
    <w:basedOn w:val="10"/>
    <w:link w:val="3"/>
    <w:autoRedefine/>
    <w:qFormat/>
    <w:uiPriority w:val="0"/>
    <w:rPr>
      <w:kern w:val="2"/>
      <w:sz w:val="21"/>
      <w:szCs w:val="24"/>
    </w:rPr>
  </w:style>
  <w:style w:type="character" w:customStyle="1" w:styleId="17">
    <w:name w:val="批注框文本 字符"/>
    <w:basedOn w:val="10"/>
    <w:link w:val="4"/>
    <w:autoRedefine/>
    <w:qFormat/>
    <w:uiPriority w:val="0"/>
    <w:rPr>
      <w:kern w:val="2"/>
      <w:sz w:val="18"/>
      <w:szCs w:val="18"/>
    </w:rPr>
  </w:style>
  <w:style w:type="character" w:customStyle="1" w:styleId="18">
    <w:name w:val="正文文本缩进 字符"/>
    <w:basedOn w:val="10"/>
    <w:link w:val="2"/>
    <w:autoRedefine/>
    <w:qFormat/>
    <w:uiPriority w:val="0"/>
    <w:rPr>
      <w:rFonts w:ascii="仿宋_GB2312" w:eastAsia="仿宋_GB2312"/>
      <w:kern w:val="2"/>
      <w:sz w:val="32"/>
      <w:szCs w:val="24"/>
    </w:rPr>
  </w:style>
  <w:style w:type="character" w:customStyle="1" w:styleId="19">
    <w:name w:val="未处理的提及1"/>
    <w:basedOn w:val="10"/>
    <w:autoRedefine/>
    <w:semiHidden/>
    <w:unhideWhenUsed/>
    <w:qFormat/>
    <w:uiPriority w:val="99"/>
    <w:rPr>
      <w:color w:val="605E5C"/>
      <w:shd w:val="clear" w:color="auto" w:fill="E1DFDD"/>
    </w:rPr>
  </w:style>
  <w:style w:type="paragraph" w:customStyle="1" w:styleId="20">
    <w:name w:val="修订1"/>
    <w:autoRedefine/>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Pages>
  <Words>2681</Words>
  <Characters>3066</Characters>
  <Lines>25</Lines>
  <Paragraphs>7</Paragraphs>
  <TotalTime>59</TotalTime>
  <ScaleCrop>false</ScaleCrop>
  <LinksUpToDate>false</LinksUpToDate>
  <CharactersWithSpaces>3160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2017-03-22T05:45:00Z</dcterms:created>
  <dc:creator>杨平</dc:creator>
  <cp:lastModifiedBy>邓婷婷</cp:lastModifiedBy>
  <cp:lastPrinted>2024-03-29T02:50:00Z</cp:lastPrinted>
  <dcterms:modified xsi:type="dcterms:W3CDTF">2025-03-28T09:00:34Z</dcterms:modified>
  <cp:revision>460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51AC34EFD5684EA79917DB4DA3BBB87C</vt:lpwstr>
  </property>
  <property fmtid="{D5CDD505-2E9C-101B-9397-08002B2CF9AE}" pid="4" name="KSOTemplateDocerSaveRecord">
    <vt:lpwstr>eyJoZGlkIjoiMzhlODdiNzRlZGIwMjkwZDNmMDA4NTJhM2I2MjY5ZjIiLCJ1c2VySWQiOiIzMTY0ODc5MjMifQ==</vt:lpwstr>
  </property>
</Properties>
</file>